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P="00D44968" w:rsidRDefault="0094424E">
      <w:pPr>
        <w:suppressLineNumbers/>
        <w:rPr>
          <w:rtl/>
        </w:rPr>
      </w:pPr>
      <w:r>
        <w:rPr>
          <w:rtl/>
        </w:rPr>
        <w:t xml:space="preserve"> </w:t>
      </w:r>
    </w:p>
    <w:tbl>
      <w:tblPr>
        <w:tblStyle w:val="a9"/>
        <w:bidiVisual/>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743"/>
        <w:gridCol w:w="2506"/>
        <w:gridCol w:w="5571"/>
      </w:tblGrid>
      <w:tr w:rsidR="0094424E">
        <w:trPr>
          <w:jc w:val="center"/>
        </w:trPr>
        <w:tc>
          <w:tcPr>
            <w:tcW w:w="743" w:type="dxa"/>
          </w:tcPr>
          <w:p w:rsidR="0094424E" w:rsidP="00D44968" w:rsidRDefault="0094424E">
            <w:pPr>
              <w:suppressLineNumbers/>
              <w:jc w:val="both"/>
              <w:rPr>
                <w:rFonts w:ascii="Arial" w:hAnsi="Arial"/>
                <w:b/>
                <w:bCs/>
                <w:rtl/>
              </w:rPr>
            </w:pPr>
            <w:r>
              <w:rPr>
                <w:rFonts w:hint="cs" w:ascii="Arial" w:hAnsi="Arial"/>
                <w:b/>
                <w:bCs/>
                <w:rtl/>
              </w:rPr>
              <w:t>ב</w:t>
            </w:r>
            <w:r>
              <w:rPr>
                <w:rFonts w:ascii="Arial" w:hAnsi="Arial"/>
                <w:b/>
                <w:bCs/>
                <w:rtl/>
              </w:rPr>
              <w:t xml:space="preserve">פני </w:t>
            </w:r>
          </w:p>
        </w:tc>
        <w:tc>
          <w:tcPr>
            <w:tcW w:w="8077" w:type="dxa"/>
            <w:gridSpan w:val="2"/>
          </w:tcPr>
          <w:p w:rsidRPr="00F33B78" w:rsidR="0094424E" w:rsidP="00E9269D" w:rsidRDefault="000529D2">
            <w:pPr>
              <w:suppressLineNumbers/>
              <w:rPr>
                <w:rFonts w:ascii="Arial" w:hAnsi="Arial"/>
                <w:b/>
                <w:bCs/>
                <w:spacing w:val="20"/>
                <w:u w:val="single"/>
                <w:rtl/>
              </w:rPr>
            </w:pPr>
            <w:r w:rsidRPr="00F33B78">
              <w:rPr>
                <w:rFonts w:hint="cs" w:ascii="Arial" w:hAnsi="Arial"/>
                <w:b/>
                <w:bCs/>
                <w:spacing w:val="20"/>
                <w:u w:val="single"/>
                <w:rtl/>
              </w:rPr>
              <w:t>כבוד</w:t>
            </w:r>
            <w:r w:rsidRPr="00F33B78" w:rsidR="0094424E">
              <w:rPr>
                <w:rFonts w:hint="cs" w:ascii="Arial" w:hAnsi="Arial"/>
                <w:b/>
                <w:bCs/>
                <w:spacing w:val="20"/>
                <w:u w:val="single"/>
                <w:rtl/>
              </w:rPr>
              <w:t xml:space="preserve"> ה</w:t>
            </w:r>
            <w:sdt>
              <w:sdtPr>
                <w:rPr>
                  <w:spacing w:val="20"/>
                  <w:u w:val="single"/>
                  <w:rtl/>
                </w:rPr>
                <w:alias w:val="1574"/>
                <w:tag w:val="1574"/>
                <w:id w:val="414602899"/>
                <w:text w:multiLine="1"/>
              </w:sdtPr>
              <w:sdtEndPr/>
              <w:sdtContent>
                <w:r w:rsidRPr="00F33B78">
                  <w:rPr>
                    <w:rFonts w:ascii="Arial" w:hAnsi="Arial"/>
                    <w:b/>
                    <w:bCs/>
                    <w:spacing w:val="20"/>
                    <w:u w:val="single"/>
                    <w:rtl/>
                  </w:rPr>
                  <w:t>שופט</w:t>
                </w:r>
              </w:sdtContent>
            </w:sdt>
            <w:r w:rsidRPr="00F33B78" w:rsidR="0094424E">
              <w:rPr>
                <w:rFonts w:hint="cs" w:ascii="Arial" w:hAnsi="Arial"/>
                <w:b/>
                <w:bCs/>
                <w:spacing w:val="20"/>
                <w:u w:val="single"/>
                <w:rtl/>
              </w:rPr>
              <w:t xml:space="preserve"> </w:t>
            </w:r>
            <w:sdt>
              <w:sdtPr>
                <w:rPr>
                  <w:spacing w:val="20"/>
                  <w:u w:val="single"/>
                  <w:rtl/>
                </w:rPr>
                <w:alias w:val="1573"/>
                <w:tag w:val="1573"/>
                <w:id w:val="-1751030614"/>
                <w:text w:multiLine="1"/>
              </w:sdtPr>
              <w:sdtEndPr/>
              <w:sdtContent>
                <w:r w:rsidRPr="00F33B78">
                  <w:rPr>
                    <w:rFonts w:ascii="Arial" w:hAnsi="Arial"/>
                    <w:b/>
                    <w:bCs/>
                    <w:spacing w:val="20"/>
                    <w:u w:val="single"/>
                    <w:rtl/>
                  </w:rPr>
                  <w:t xml:space="preserve">ראמי </w:t>
                </w:r>
                <w:r w:rsidRPr="00F33B78" w:rsidR="00F33B78">
                  <w:rPr>
                    <w:rFonts w:hint="cs" w:ascii="Arial" w:hAnsi="Arial"/>
                    <w:b/>
                    <w:bCs/>
                    <w:spacing w:val="20"/>
                    <w:u w:val="single"/>
                    <w:rtl/>
                  </w:rPr>
                  <w:t xml:space="preserve">נ. </w:t>
                </w:r>
                <w:r w:rsidRPr="00F33B78">
                  <w:rPr>
                    <w:rFonts w:ascii="Arial" w:hAnsi="Arial"/>
                    <w:b/>
                    <w:bCs/>
                    <w:spacing w:val="20"/>
                    <w:u w:val="single"/>
                    <w:rtl/>
                  </w:rPr>
                  <w:t>נאסר</w:t>
                </w:r>
              </w:sdtContent>
            </w:sdt>
          </w:p>
          <w:p w:rsidR="0094424E" w:rsidP="00D44968" w:rsidRDefault="0094424E">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P="00D44968" w:rsidRDefault="0094424E">
            <w:pPr>
              <w:suppressLineNumbers/>
              <w:rPr>
                <w:rFonts w:ascii="Arial" w:hAnsi="Arial"/>
                <w:b/>
                <w:bCs/>
                <w:noProof w:val="0"/>
                <w:sz w:val="26"/>
                <w:szCs w:val="26"/>
              </w:rPr>
            </w:pPr>
          </w:p>
          <w:sdt>
            <w:sdtPr>
              <w:rPr>
                <w:rtl/>
              </w:rPr>
              <w:alias w:val="1180"/>
              <w:tag w:val="1180"/>
              <w:id w:val="637458750"/>
              <w:text w:multiLine="1"/>
            </w:sdtPr>
            <w:sdtEndPr/>
            <w:sdtContent>
              <w:p w:rsidR="00CF0207" w:rsidP="00D46152" w:rsidRDefault="00534B6D">
                <w:pPr>
                  <w:suppressLineNumbers/>
                  <w:rPr>
                    <w:rFonts w:ascii="Arial" w:hAnsi="Arial"/>
                    <w:b/>
                    <w:bCs/>
                    <w:noProof w:val="0"/>
                    <w:sz w:val="26"/>
                    <w:szCs w:val="26"/>
                    <w:rtl/>
                  </w:rPr>
                </w:pPr>
                <w:r>
                  <w:rPr>
                    <w:rFonts w:ascii="Arial" w:hAnsi="Arial"/>
                    <w:b/>
                    <w:bCs/>
                    <w:noProof w:val="0"/>
                    <w:sz w:val="26"/>
                    <w:szCs w:val="26"/>
                    <w:rtl/>
                  </w:rPr>
                  <w:t>תובע</w:t>
                </w:r>
                <w:r w:rsidR="00D46152">
                  <w:rPr>
                    <w:rFonts w:hint="cs" w:ascii="Arial" w:hAnsi="Arial"/>
                    <w:b/>
                    <w:bCs/>
                    <w:noProof w:val="0"/>
                    <w:sz w:val="26"/>
                    <w:szCs w:val="26"/>
                    <w:rtl/>
                  </w:rPr>
                  <w:t>:</w:t>
                </w:r>
              </w:p>
            </w:sdtContent>
          </w:sdt>
        </w:tc>
        <w:tc>
          <w:tcPr>
            <w:tcW w:w="5571" w:type="dxa"/>
          </w:tcPr>
          <w:p w:rsidR="0094424E" w:rsidP="00D44968" w:rsidRDefault="0094424E">
            <w:pPr>
              <w:suppressLineNumbers/>
              <w:rPr>
                <w:rFonts w:ascii="Arial" w:hAnsi="Arial"/>
                <w:b/>
                <w:bCs/>
                <w:noProof w:val="0"/>
                <w:sz w:val="26"/>
                <w:szCs w:val="26"/>
                <w:rtl/>
              </w:rPr>
            </w:pPr>
          </w:p>
          <w:p w:rsidR="0094424E" w:rsidP="00D44968" w:rsidRDefault="00A66594">
            <w:pPr>
              <w:suppressLineNumbers/>
              <w:rPr>
                <w:b/>
                <w:bCs/>
                <w:noProof w:val="0"/>
                <w:sz w:val="26"/>
                <w:szCs w:val="26"/>
              </w:rPr>
            </w:pPr>
            <w:sdt>
              <w:sdtPr>
                <w:rPr>
                  <w:rtl/>
                </w:rPr>
                <w:alias w:val="1478"/>
                <w:tag w:val="1478"/>
                <w:id w:val="-2076122985"/>
                <w:text w:multiLine="1"/>
              </w:sdtPr>
              <w:sdtEndPr/>
              <w:sdtContent>
                <w:r w:rsidR="009E461A">
                  <w:rPr>
                    <w:rFonts w:ascii="Arial" w:hAnsi="Arial"/>
                    <w:b/>
                    <w:bCs/>
                    <w:noProof w:val="0"/>
                    <w:sz w:val="26"/>
                    <w:szCs w:val="26"/>
                    <w:rtl/>
                  </w:rPr>
                  <w:t>טלאל גמאמסי</w:t>
                </w:r>
              </w:sdtContent>
            </w:sdt>
          </w:p>
        </w:tc>
      </w:tr>
      <w:tr w:rsidR="0094424E">
        <w:trPr>
          <w:jc w:val="center"/>
        </w:trPr>
        <w:tc>
          <w:tcPr>
            <w:tcW w:w="8820" w:type="dxa"/>
            <w:gridSpan w:val="3"/>
          </w:tcPr>
          <w:p w:rsidR="0094424E" w:rsidP="00D44968" w:rsidRDefault="0094424E">
            <w:pPr>
              <w:suppressLineNumbers/>
              <w:rPr>
                <w:rFonts w:ascii="Arial" w:hAnsi="Arial"/>
                <w:b/>
                <w:bCs/>
                <w:noProof w:val="0"/>
                <w:sz w:val="26"/>
                <w:szCs w:val="26"/>
                <w:rtl/>
              </w:rPr>
            </w:pPr>
          </w:p>
          <w:p w:rsidR="0094424E" w:rsidP="00D44968" w:rsidRDefault="0094424E">
            <w:pPr>
              <w:suppressLineNumbers/>
              <w:jc w:val="center"/>
              <w:rPr>
                <w:rFonts w:ascii="Arial" w:hAnsi="Arial"/>
                <w:b/>
                <w:bCs/>
                <w:noProof w:val="0"/>
                <w:sz w:val="26"/>
                <w:szCs w:val="26"/>
                <w:rtl/>
              </w:rPr>
            </w:pPr>
            <w:r>
              <w:rPr>
                <w:rFonts w:ascii="Arial" w:hAnsi="Arial"/>
                <w:b/>
                <w:bCs/>
                <w:noProof w:val="0"/>
                <w:sz w:val="26"/>
                <w:szCs w:val="26"/>
                <w:rtl/>
              </w:rPr>
              <w:t>נגד</w:t>
            </w:r>
          </w:p>
          <w:p w:rsidR="0094424E" w:rsidP="00D44968" w:rsidRDefault="0094424E">
            <w:pPr>
              <w:suppressLineNumbers/>
              <w:rPr>
                <w:rFonts w:ascii="Arial" w:hAnsi="Arial"/>
                <w:b/>
                <w:bCs/>
                <w:noProof w:val="0"/>
                <w:sz w:val="26"/>
                <w:szCs w:val="26"/>
              </w:rPr>
            </w:pPr>
          </w:p>
        </w:tc>
      </w:tr>
      <w:tr w:rsidR="0094424E" w:rsidTr="009E461A">
        <w:trPr>
          <w:jc w:val="center"/>
        </w:trPr>
        <w:tc>
          <w:tcPr>
            <w:tcW w:w="3249" w:type="dxa"/>
            <w:gridSpan w:val="2"/>
          </w:tcPr>
          <w:p w:rsidR="0094424E" w:rsidP="00D46152" w:rsidRDefault="00A66594">
            <w:pPr>
              <w:suppressLineNumbers/>
              <w:rPr>
                <w:rFonts w:ascii="Arial" w:hAnsi="Arial"/>
                <w:b/>
                <w:bCs/>
                <w:noProof w:val="0"/>
                <w:sz w:val="26"/>
                <w:szCs w:val="26"/>
              </w:rPr>
            </w:pPr>
            <w:sdt>
              <w:sdtPr>
                <w:rPr>
                  <w:rtl/>
                </w:rPr>
                <w:alias w:val="1184"/>
                <w:tag w:val="1184"/>
                <w:id w:val="-340621022"/>
                <w:text w:multiLine="1"/>
              </w:sdtPr>
              <w:sdtEndPr/>
              <w:sdtContent>
                <w:r w:rsidR="009E461A">
                  <w:rPr>
                    <w:rFonts w:ascii="Arial" w:hAnsi="Arial"/>
                    <w:b/>
                    <w:bCs/>
                    <w:noProof w:val="0"/>
                    <w:sz w:val="26"/>
                    <w:szCs w:val="26"/>
                    <w:rtl/>
                  </w:rPr>
                  <w:t>נתבע</w:t>
                </w:r>
                <w:r w:rsidR="00D46152">
                  <w:rPr>
                    <w:rFonts w:hint="cs" w:ascii="Arial" w:hAnsi="Arial"/>
                    <w:b/>
                    <w:bCs/>
                    <w:noProof w:val="0"/>
                    <w:sz w:val="26"/>
                    <w:szCs w:val="26"/>
                    <w:rtl/>
                  </w:rPr>
                  <w:t>ת</w:t>
                </w:r>
              </w:sdtContent>
            </w:sdt>
            <w:r w:rsidR="00D46152">
              <w:rPr>
                <w:rFonts w:hint="cs" w:ascii="Arial" w:hAnsi="Arial"/>
                <w:b/>
                <w:bCs/>
                <w:noProof w:val="0"/>
                <w:sz w:val="26"/>
                <w:szCs w:val="26"/>
                <w:rtl/>
              </w:rPr>
              <w:t>:</w:t>
            </w:r>
          </w:p>
        </w:tc>
        <w:tc>
          <w:tcPr>
            <w:tcW w:w="5571" w:type="dxa"/>
          </w:tcPr>
          <w:p w:rsidRPr="009E461A" w:rsidR="00CF6BB7" w:rsidP="009E461A" w:rsidRDefault="00A66594">
            <w:pPr>
              <w:suppressLineNumbers/>
              <w:rPr>
                <w:rtl/>
              </w:rPr>
            </w:pPr>
            <w:sdt>
              <w:sdtPr>
                <w:rPr>
                  <w:rtl/>
                </w:rPr>
                <w:alias w:val="1486"/>
                <w:tag w:val="1486"/>
                <w:id w:val="-309872140"/>
                <w:text w:multiLine="1"/>
              </w:sdtPr>
              <w:sdtEndPr/>
              <w:sdtContent>
                <w:r w:rsidR="009E461A">
                  <w:rPr>
                    <w:rFonts w:ascii="Arial" w:hAnsi="Arial"/>
                    <w:b/>
                    <w:bCs/>
                    <w:noProof w:val="0"/>
                    <w:sz w:val="26"/>
                    <w:szCs w:val="26"/>
                    <w:rtl/>
                  </w:rPr>
                  <w:t>אגד ליסינג שירותי ליסינג למוניות בע"מ</w:t>
                </w:r>
              </w:sdtContent>
            </w:sdt>
          </w:p>
        </w:tc>
      </w:tr>
      <w:tr w:rsidR="00CF6BB7" w:rsidTr="00280865">
        <w:trPr>
          <w:jc w:val="center"/>
        </w:trPr>
        <w:tc>
          <w:tcPr>
            <w:tcW w:w="8820" w:type="dxa"/>
            <w:gridSpan w:val="3"/>
          </w:tcPr>
          <w:p w:rsidR="00CF6BB7" w:rsidP="00D44968" w:rsidRDefault="00CF6BB7">
            <w:pPr>
              <w:suppressLineNumbers/>
              <w:rPr>
                <w:rtl/>
              </w:rPr>
            </w:pPr>
          </w:p>
        </w:tc>
      </w:tr>
      <w:tr w:rsidR="00CF6BB7">
        <w:trPr>
          <w:jc w:val="center"/>
        </w:trPr>
        <w:tc>
          <w:tcPr>
            <w:tcW w:w="3249" w:type="dxa"/>
            <w:gridSpan w:val="2"/>
          </w:tcPr>
          <w:p w:rsidR="00CF0207" w:rsidRDefault="00CF0207">
            <w:pPr>
              <w:rPr>
                <w:rFonts w:ascii="David" w:hAnsi="David" w:eastAsia="David"/>
                <w:noProof w:val="0"/>
              </w:rPr>
            </w:pPr>
          </w:p>
        </w:tc>
        <w:tc>
          <w:tcPr>
            <w:tcW w:w="5571" w:type="dxa"/>
          </w:tcPr>
          <w:p w:rsidR="00CF6BB7" w:rsidP="00CF6BB7" w:rsidRDefault="00CF6BB7">
            <w:pPr>
              <w:rPr>
                <w:rFonts w:cs="Times New Roman"/>
              </w:rPr>
            </w:pPr>
          </w:p>
        </w:tc>
      </w:tr>
      <w:tr w:rsidR="004C17EE" w:rsidTr="00D620FD">
        <w:trPr>
          <w:jc w:val="center"/>
        </w:trPr>
        <w:tc>
          <w:tcPr>
            <w:tcW w:w="8820" w:type="dxa"/>
            <w:gridSpan w:val="3"/>
          </w:tcPr>
          <w:p w:rsidR="00CF0207" w:rsidRDefault="00CF0207">
            <w:pPr>
              <w:suppressLineNumbers/>
              <w:rPr>
                <w:rFonts w:ascii="Arial" w:hAnsi="Arial"/>
                <w:b/>
                <w:bCs/>
                <w:noProof w:val="0"/>
                <w:sz w:val="26"/>
                <w:szCs w:val="26"/>
                <w:rtl/>
              </w:rPr>
            </w:pPr>
          </w:p>
        </w:tc>
      </w:tr>
      <w:tr w:rsidRPr="00DE1E7D" w:rsidR="00694556">
        <w:trPr>
          <w:jc w:val="center"/>
        </w:trPr>
        <w:tc>
          <w:tcPr>
            <w:tcW w:w="8820" w:type="dxa"/>
            <w:gridSpan w:val="3"/>
          </w:tcPr>
          <w:p w:rsidR="00694556" w:rsidRDefault="003E38C7">
            <w:pPr>
              <w:bidi w:val="0"/>
              <w:jc w:val="center"/>
              <w:rPr>
                <w:rFonts w:ascii="Arial" w:hAnsi="Arial"/>
                <w:b/>
                <w:bCs/>
                <w:noProof w:val="0"/>
                <w:sz w:val="36"/>
                <w:szCs w:val="36"/>
                <w:u w:val="single"/>
                <w:rtl/>
              </w:rPr>
            </w:pPr>
            <w:r w:rsidRPr="00F33B78">
              <w:rPr>
                <w:rFonts w:hint="cs" w:ascii="Arial" w:hAnsi="Arial"/>
                <w:b/>
                <w:bCs/>
                <w:noProof w:val="0"/>
                <w:sz w:val="36"/>
                <w:szCs w:val="36"/>
                <w:u w:val="single"/>
                <w:rtl/>
              </w:rPr>
              <w:t>פסק דין</w:t>
            </w:r>
          </w:p>
          <w:p w:rsidRPr="00F33B78" w:rsidR="004E400B" w:rsidP="004E400B" w:rsidRDefault="004E400B">
            <w:pPr>
              <w:bidi w:val="0"/>
              <w:rPr>
                <w:rFonts w:ascii="Arial" w:hAnsi="Arial"/>
                <w:b/>
                <w:bCs/>
                <w:noProof w:val="0"/>
                <w:sz w:val="36"/>
                <w:szCs w:val="36"/>
                <w:u w:val="single"/>
              </w:rPr>
            </w:pPr>
          </w:p>
          <w:p w:rsidRPr="00D44968" w:rsidR="00D44968" w:rsidP="00D44968" w:rsidRDefault="00D44968">
            <w:pPr>
              <w:bidi w:val="0"/>
              <w:jc w:val="center"/>
              <w:rPr>
                <w:rFonts w:ascii="Arial" w:hAnsi="Arial"/>
                <w:b/>
                <w:bCs/>
                <w:noProof w:val="0"/>
                <w:sz w:val="28"/>
                <w:szCs w:val="28"/>
                <w:u w:val="single"/>
              </w:rPr>
            </w:pPr>
          </w:p>
        </w:tc>
      </w:tr>
    </w:tbl>
    <w:p w:rsidRPr="004E400B" w:rsidR="004E400B" w:rsidP="00232AFF" w:rsidRDefault="004E400B">
      <w:pPr>
        <w:spacing w:line="360" w:lineRule="auto"/>
        <w:jc w:val="both"/>
        <w:rPr>
          <w:rFonts w:hint="cs" w:ascii="Arial" w:hAnsi="Arial"/>
          <w:b/>
          <w:bCs/>
          <w:noProof w:val="0"/>
          <w:spacing w:val="20"/>
          <w:rtl/>
        </w:rPr>
      </w:pPr>
      <w:bookmarkStart w:name="NGCSBookmark" w:id="0"/>
      <w:bookmarkEnd w:id="0"/>
      <w:r w:rsidRPr="004E400B">
        <w:rPr>
          <w:rFonts w:hint="cs" w:ascii="Arial" w:hAnsi="Arial"/>
          <w:b/>
          <w:bCs/>
          <w:noProof w:val="0"/>
          <w:spacing w:val="20"/>
          <w:rtl/>
        </w:rPr>
        <w:t>הסוגיה העיקרית העומדת להכרעתי בפסק דין זה היא שאלת ההוצאות שיש לפסוק ב</w:t>
      </w:r>
      <w:r w:rsidR="00232AFF">
        <w:rPr>
          <w:rFonts w:hint="cs" w:ascii="Arial" w:hAnsi="Arial"/>
          <w:b/>
          <w:bCs/>
          <w:noProof w:val="0"/>
          <w:spacing w:val="20"/>
          <w:rtl/>
        </w:rPr>
        <w:t>תום</w:t>
      </w:r>
      <w:r w:rsidRPr="004E400B">
        <w:rPr>
          <w:rFonts w:hint="cs" w:ascii="Arial" w:hAnsi="Arial"/>
          <w:b/>
          <w:bCs/>
          <w:noProof w:val="0"/>
          <w:spacing w:val="20"/>
          <w:rtl/>
        </w:rPr>
        <w:t xml:space="preserve"> ההליך</w:t>
      </w:r>
      <w:r>
        <w:rPr>
          <w:rFonts w:hint="cs" w:ascii="Arial" w:hAnsi="Arial"/>
          <w:b/>
          <w:bCs/>
          <w:noProof w:val="0"/>
          <w:spacing w:val="20"/>
          <w:rtl/>
        </w:rPr>
        <w:t>, וזאת</w:t>
      </w:r>
      <w:r w:rsidRPr="004E400B">
        <w:rPr>
          <w:rFonts w:hint="cs" w:ascii="Arial" w:hAnsi="Arial"/>
          <w:b/>
          <w:bCs/>
          <w:noProof w:val="0"/>
          <w:spacing w:val="20"/>
          <w:rtl/>
        </w:rPr>
        <w:t xml:space="preserve"> בעקבות כניסתן לתוקף של תקנות סדר הדין האזרחי, התשע"ט-2018.</w:t>
      </w:r>
    </w:p>
    <w:p w:rsidRPr="004E400B" w:rsidR="004E400B" w:rsidP="004E400B" w:rsidRDefault="004E400B">
      <w:pPr>
        <w:spacing w:line="360" w:lineRule="auto"/>
        <w:jc w:val="both"/>
        <w:rPr>
          <w:rFonts w:ascii="Arial" w:hAnsi="Arial"/>
          <w:noProof w:val="0"/>
        </w:rPr>
      </w:pPr>
    </w:p>
    <w:p w:rsidRPr="004E400B" w:rsidR="00694556" w:rsidP="004E400B" w:rsidRDefault="004E400B">
      <w:pPr>
        <w:spacing w:line="360" w:lineRule="auto"/>
        <w:jc w:val="both"/>
        <w:rPr>
          <w:rFonts w:asciiTheme="minorBidi" w:hAnsiTheme="minorBidi" w:cstheme="minorBidi"/>
          <w:b/>
          <w:bCs/>
          <w:noProof w:val="0"/>
          <w:spacing w:val="20"/>
          <w:sz w:val="26"/>
          <w:szCs w:val="26"/>
        </w:rPr>
      </w:pPr>
      <w:r w:rsidRPr="004E400B">
        <w:rPr>
          <w:rFonts w:asciiTheme="minorBidi" w:hAnsiTheme="minorBidi" w:cstheme="minorBidi"/>
          <w:b/>
          <w:bCs/>
          <w:noProof w:val="0"/>
          <w:spacing w:val="20"/>
          <w:sz w:val="26"/>
          <w:szCs w:val="26"/>
          <w:u w:val="single"/>
          <w:rtl/>
        </w:rPr>
        <w:t>רקע ההליך</w:t>
      </w:r>
      <w:r w:rsidRPr="004E400B">
        <w:rPr>
          <w:rFonts w:asciiTheme="minorBidi" w:hAnsiTheme="minorBidi" w:cstheme="minorBidi"/>
          <w:b/>
          <w:bCs/>
          <w:noProof w:val="0"/>
          <w:spacing w:val="20"/>
          <w:sz w:val="26"/>
          <w:szCs w:val="26"/>
          <w:rtl/>
        </w:rPr>
        <w:t>:</w:t>
      </w:r>
    </w:p>
    <w:p w:rsidR="00D46152" w:rsidP="00F86337" w:rsidRDefault="00D46152">
      <w:pPr>
        <w:pStyle w:val="ad"/>
        <w:numPr>
          <w:ilvl w:val="0"/>
          <w:numId w:val="1"/>
        </w:numPr>
        <w:spacing w:before="240" w:after="240" w:line="360" w:lineRule="auto"/>
        <w:ind w:left="714" w:hanging="357"/>
        <w:contextualSpacing w:val="0"/>
        <w:jc w:val="both"/>
        <w:rPr>
          <w:rFonts w:ascii="Arial" w:hAnsi="Arial"/>
          <w:noProof w:val="0"/>
        </w:rPr>
      </w:pPr>
      <w:r>
        <w:rPr>
          <w:rFonts w:hint="cs" w:ascii="Arial" w:hAnsi="Arial"/>
          <w:noProof w:val="0"/>
          <w:rtl/>
        </w:rPr>
        <w:t xml:space="preserve">תחילתו של ההליך בתביעה כספית שהגיש התובע ביום 23.09.2019 נגד הנתבעת ע"ס 68,447 ₪ </w:t>
      </w:r>
      <w:r w:rsidR="004E400B">
        <w:rPr>
          <w:rFonts w:hint="cs" w:ascii="Arial" w:hAnsi="Arial"/>
          <w:noProof w:val="0"/>
          <w:rtl/>
        </w:rPr>
        <w:t xml:space="preserve">בעקבות </w:t>
      </w:r>
      <w:r>
        <w:rPr>
          <w:rFonts w:hint="cs" w:ascii="Arial" w:hAnsi="Arial"/>
          <w:noProof w:val="0"/>
          <w:rtl/>
        </w:rPr>
        <w:t>הכרזת רכבו כאובדן גמור ב</w:t>
      </w:r>
      <w:r w:rsidR="004E400B">
        <w:rPr>
          <w:rFonts w:hint="cs" w:ascii="Arial" w:hAnsi="Arial"/>
          <w:noProof w:val="0"/>
          <w:rtl/>
        </w:rPr>
        <w:t>של</w:t>
      </w:r>
      <w:r>
        <w:rPr>
          <w:rFonts w:hint="cs" w:ascii="Arial" w:hAnsi="Arial"/>
          <w:noProof w:val="0"/>
          <w:rtl/>
        </w:rPr>
        <w:t xml:space="preserve"> תאונת דרכים </w:t>
      </w:r>
      <w:r w:rsidR="00333B79">
        <w:rPr>
          <w:rFonts w:hint="cs" w:ascii="Arial" w:hAnsi="Arial"/>
          <w:noProof w:val="0"/>
          <w:rtl/>
        </w:rPr>
        <w:t>מיום 04.07.2016</w:t>
      </w:r>
      <w:r w:rsidR="004E400B">
        <w:rPr>
          <w:rFonts w:hint="cs" w:ascii="Arial" w:hAnsi="Arial"/>
          <w:noProof w:val="0"/>
          <w:rtl/>
        </w:rPr>
        <w:t>,</w:t>
      </w:r>
      <w:r w:rsidR="00333B79">
        <w:rPr>
          <w:rFonts w:hint="cs" w:ascii="Arial" w:hAnsi="Arial"/>
          <w:noProof w:val="0"/>
          <w:rtl/>
        </w:rPr>
        <w:t xml:space="preserve"> </w:t>
      </w:r>
      <w:r>
        <w:rPr>
          <w:rFonts w:hint="cs" w:ascii="Arial" w:hAnsi="Arial"/>
          <w:noProof w:val="0"/>
          <w:rtl/>
        </w:rPr>
        <w:t>ו</w:t>
      </w:r>
      <w:r w:rsidR="00333B79">
        <w:rPr>
          <w:rFonts w:hint="cs" w:ascii="Arial" w:hAnsi="Arial"/>
          <w:noProof w:val="0"/>
          <w:rtl/>
        </w:rPr>
        <w:t>דרישתו לקבלת פיצויים מהנתבעת, ממנה רכש את הרכב</w:t>
      </w:r>
      <w:r w:rsidR="00F86337">
        <w:rPr>
          <w:rFonts w:hint="cs" w:ascii="Arial" w:hAnsi="Arial"/>
          <w:noProof w:val="0"/>
          <w:rtl/>
        </w:rPr>
        <w:t xml:space="preserve"> בעסקת ליסינג</w:t>
      </w:r>
      <w:r w:rsidR="00333B79">
        <w:rPr>
          <w:rFonts w:hint="cs" w:ascii="Arial" w:hAnsi="Arial"/>
          <w:noProof w:val="0"/>
          <w:rtl/>
        </w:rPr>
        <w:t xml:space="preserve">, בסכום התביעה המורכב משווי הרכב במועד התאונה בסך 48,000 ₪, הפרשי הצמדה וריבית בסך 5,447 ₪ </w:t>
      </w:r>
      <w:r>
        <w:rPr>
          <w:rFonts w:hint="cs" w:ascii="Arial" w:hAnsi="Arial"/>
          <w:noProof w:val="0"/>
          <w:rtl/>
        </w:rPr>
        <w:t xml:space="preserve"> </w:t>
      </w:r>
      <w:r w:rsidR="00333B79">
        <w:rPr>
          <w:rFonts w:hint="cs" w:ascii="Arial" w:hAnsi="Arial"/>
          <w:noProof w:val="0"/>
          <w:rtl/>
        </w:rPr>
        <w:t>והפסדי הכנסה כנהג מונית בסך 15,000 ₪.</w:t>
      </w:r>
    </w:p>
    <w:p w:rsidR="00333B79" w:rsidP="004E400B" w:rsidRDefault="00333B79">
      <w:pPr>
        <w:pStyle w:val="ad"/>
        <w:numPr>
          <w:ilvl w:val="0"/>
          <w:numId w:val="1"/>
        </w:numPr>
        <w:spacing w:before="240" w:after="240" w:line="360" w:lineRule="auto"/>
        <w:ind w:left="714" w:hanging="357"/>
        <w:contextualSpacing w:val="0"/>
        <w:jc w:val="both"/>
        <w:rPr>
          <w:rFonts w:ascii="Arial" w:hAnsi="Arial"/>
          <w:noProof w:val="0"/>
        </w:rPr>
      </w:pPr>
      <w:r>
        <w:rPr>
          <w:rFonts w:hint="cs" w:ascii="Arial" w:hAnsi="Arial"/>
          <w:noProof w:val="0"/>
          <w:rtl/>
        </w:rPr>
        <w:t>הנתבעת ביקשה לדחות את התביעה על הסף בהעדר עילה. נטען כי הנתבעת כאן הגישה תביעה נגד צד ג' שהיה מעורב בתאונת הדרכים וקיבלה נגדו פסק דין וננקטו נגדו הליכי גבייה בהוצאה לפועל. נטען</w:t>
      </w:r>
      <w:r w:rsidR="00F33B78">
        <w:rPr>
          <w:rFonts w:hint="cs" w:ascii="Arial" w:hAnsi="Arial"/>
          <w:noProof w:val="0"/>
          <w:rtl/>
        </w:rPr>
        <w:t>,</w:t>
      </w:r>
      <w:r>
        <w:rPr>
          <w:rFonts w:hint="cs" w:ascii="Arial" w:hAnsi="Arial"/>
          <w:noProof w:val="0"/>
          <w:rtl/>
        </w:rPr>
        <w:t xml:space="preserve"> כי עד למועד הגשת התביעה לא נגבו כספים מצד ג', כך שאין מקום לתשלום כספים כלשהם לתובע. נטען עוד, כי השמאי העריך שווי הרכב בסך של 16,000 ₪ ולא כפי שנטען בכתב התביעה.</w:t>
      </w:r>
    </w:p>
    <w:p w:rsidR="00333B79" w:rsidP="004E400B" w:rsidRDefault="00333B79">
      <w:pPr>
        <w:pStyle w:val="ad"/>
        <w:numPr>
          <w:ilvl w:val="0"/>
          <w:numId w:val="1"/>
        </w:numPr>
        <w:spacing w:before="240" w:after="240" w:line="360" w:lineRule="auto"/>
        <w:ind w:left="714" w:hanging="357"/>
        <w:contextualSpacing w:val="0"/>
        <w:jc w:val="both"/>
        <w:rPr>
          <w:rFonts w:ascii="Arial" w:hAnsi="Arial"/>
          <w:noProof w:val="0"/>
        </w:rPr>
      </w:pPr>
      <w:r>
        <w:rPr>
          <w:rFonts w:hint="cs" w:ascii="Arial" w:hAnsi="Arial"/>
          <w:noProof w:val="0"/>
          <w:rtl/>
        </w:rPr>
        <w:t>בישיבה מקדמית שנע</w:t>
      </w:r>
      <w:r w:rsidR="00EF4EA7">
        <w:rPr>
          <w:rFonts w:hint="cs" w:ascii="Arial" w:hAnsi="Arial"/>
          <w:noProof w:val="0"/>
          <w:rtl/>
        </w:rPr>
        <w:t>רכה לפניי ביום 13.07.202</w:t>
      </w:r>
      <w:r w:rsidR="00F33B78">
        <w:rPr>
          <w:rFonts w:hint="cs" w:ascii="Arial" w:hAnsi="Arial"/>
          <w:noProof w:val="0"/>
          <w:rtl/>
        </w:rPr>
        <w:t>0</w:t>
      </w:r>
      <w:r w:rsidR="00EF4EA7">
        <w:rPr>
          <w:rFonts w:hint="cs" w:ascii="Arial" w:hAnsi="Arial"/>
          <w:noProof w:val="0"/>
          <w:rtl/>
        </w:rPr>
        <w:t xml:space="preserve"> לא הגיעו הצדדים להסכמות</w:t>
      </w:r>
      <w:r w:rsidR="00F86337">
        <w:rPr>
          <w:rFonts w:hint="cs" w:ascii="Arial" w:hAnsi="Arial"/>
          <w:noProof w:val="0"/>
          <w:rtl/>
        </w:rPr>
        <w:t>,</w:t>
      </w:r>
      <w:r w:rsidR="00EF4EA7">
        <w:rPr>
          <w:rFonts w:hint="cs" w:ascii="Arial" w:hAnsi="Arial"/>
          <w:noProof w:val="0"/>
          <w:rtl/>
        </w:rPr>
        <w:t xml:space="preserve"> ועל כן קבעתי דיון הוכחות ליום 28.01.2021.</w:t>
      </w:r>
    </w:p>
    <w:p w:rsidRPr="004E400B" w:rsidR="00EF4EA7" w:rsidP="00F86337" w:rsidRDefault="00EF4EA7">
      <w:pPr>
        <w:pStyle w:val="ad"/>
        <w:numPr>
          <w:ilvl w:val="0"/>
          <w:numId w:val="1"/>
        </w:numPr>
        <w:spacing w:before="240" w:after="240" w:line="360" w:lineRule="auto"/>
        <w:ind w:left="714" w:hanging="357"/>
        <w:contextualSpacing w:val="0"/>
        <w:jc w:val="both"/>
        <w:rPr>
          <w:rFonts w:ascii="Arial" w:hAnsi="Arial"/>
          <w:noProof w:val="0"/>
        </w:rPr>
      </w:pPr>
      <w:r>
        <w:rPr>
          <w:rFonts w:hint="cs" w:ascii="Arial" w:hAnsi="Arial"/>
          <w:noProof w:val="0"/>
          <w:rtl/>
        </w:rPr>
        <w:lastRenderedPageBreak/>
        <w:t>בעקבות בקשות ותגובו</w:t>
      </w:r>
      <w:r w:rsidR="00F86337">
        <w:rPr>
          <w:rFonts w:hint="cs" w:ascii="Arial" w:hAnsi="Arial"/>
          <w:noProof w:val="0"/>
          <w:rtl/>
        </w:rPr>
        <w:t>ת</w:t>
      </w:r>
      <w:r>
        <w:rPr>
          <w:rFonts w:hint="cs" w:ascii="Arial" w:hAnsi="Arial"/>
          <w:noProof w:val="0"/>
          <w:rtl/>
        </w:rPr>
        <w:t xml:space="preserve"> שהגישו הצדדים במהלך חודש ינואר 2021 הגיעו</w:t>
      </w:r>
      <w:r w:rsidR="00F86337">
        <w:rPr>
          <w:rFonts w:hint="cs" w:ascii="Arial" w:hAnsi="Arial"/>
          <w:noProof w:val="0"/>
          <w:rtl/>
        </w:rPr>
        <w:t xml:space="preserve"> הם</w:t>
      </w:r>
      <w:r>
        <w:rPr>
          <w:rFonts w:hint="cs" w:ascii="Arial" w:hAnsi="Arial"/>
          <w:noProof w:val="0"/>
          <w:rtl/>
        </w:rPr>
        <w:t xml:space="preserve"> </w:t>
      </w:r>
      <w:r w:rsidR="00232AFF">
        <w:rPr>
          <w:rFonts w:hint="cs" w:ascii="Arial" w:hAnsi="Arial"/>
          <w:noProof w:val="0"/>
          <w:rtl/>
        </w:rPr>
        <w:t xml:space="preserve">בהמלצת בית המשפט </w:t>
      </w:r>
      <w:r>
        <w:rPr>
          <w:rFonts w:hint="cs" w:ascii="Arial" w:hAnsi="Arial"/>
          <w:noProof w:val="0"/>
          <w:rtl/>
        </w:rPr>
        <w:t>להסדר דיוני שקיבל תוקף של החלטה.</w:t>
      </w:r>
      <w:r w:rsidR="004E400B">
        <w:rPr>
          <w:rFonts w:hint="cs" w:ascii="Arial" w:hAnsi="Arial"/>
          <w:noProof w:val="0"/>
          <w:rtl/>
        </w:rPr>
        <w:t xml:space="preserve"> </w:t>
      </w:r>
      <w:r w:rsidRPr="004E400B">
        <w:rPr>
          <w:rFonts w:hint="cs" w:ascii="Arial" w:hAnsi="Arial"/>
          <w:noProof w:val="0"/>
          <w:rtl/>
        </w:rPr>
        <w:t>בהתאם להסדר הדיוני הסכימו הצדדים כי הנתבעת תשלם לתובע סך של 21,833 ₪ המורכב מ</w:t>
      </w:r>
      <w:r w:rsidRPr="004E400B" w:rsidR="00F33B78">
        <w:rPr>
          <w:rFonts w:hint="cs" w:ascii="Arial" w:hAnsi="Arial"/>
          <w:noProof w:val="0"/>
          <w:rtl/>
        </w:rPr>
        <w:t>סך</w:t>
      </w:r>
      <w:r w:rsidRPr="004E400B">
        <w:rPr>
          <w:rFonts w:hint="cs" w:ascii="Arial" w:hAnsi="Arial"/>
          <w:noProof w:val="0"/>
          <w:rtl/>
        </w:rPr>
        <w:t>- 16,500 ₪ אות</w:t>
      </w:r>
      <w:r w:rsidRPr="004E400B" w:rsidR="00F33B78">
        <w:rPr>
          <w:rFonts w:hint="cs" w:ascii="Arial" w:hAnsi="Arial"/>
          <w:noProof w:val="0"/>
          <w:rtl/>
        </w:rPr>
        <w:t>ו</w:t>
      </w:r>
      <w:r w:rsidRPr="004E400B">
        <w:rPr>
          <w:rFonts w:hint="cs" w:ascii="Arial" w:hAnsi="Arial"/>
          <w:noProof w:val="0"/>
          <w:rtl/>
        </w:rPr>
        <w:t xml:space="preserve"> גבתה הנתבעת מצד ג'</w:t>
      </w:r>
      <w:r w:rsidR="00232AFF">
        <w:rPr>
          <w:rFonts w:hint="cs" w:ascii="Arial" w:hAnsi="Arial"/>
          <w:noProof w:val="0"/>
          <w:rtl/>
        </w:rPr>
        <w:t xml:space="preserve"> בהוצאה לפועל</w:t>
      </w:r>
      <w:r w:rsidRPr="004E400B">
        <w:rPr>
          <w:rFonts w:hint="cs" w:ascii="Arial" w:hAnsi="Arial"/>
          <w:noProof w:val="0"/>
          <w:rtl/>
        </w:rPr>
        <w:t>, וסך נוסף של 5,333 ₪ אשר שולם לנתבע</w:t>
      </w:r>
      <w:r w:rsidRPr="004E400B" w:rsidR="00F33B78">
        <w:rPr>
          <w:rFonts w:hint="cs" w:ascii="Arial" w:hAnsi="Arial"/>
          <w:noProof w:val="0"/>
          <w:rtl/>
        </w:rPr>
        <w:t>ת</w:t>
      </w:r>
      <w:r w:rsidRPr="004E400B">
        <w:rPr>
          <w:rFonts w:hint="cs" w:ascii="Arial" w:hAnsi="Arial"/>
          <w:noProof w:val="0"/>
          <w:rtl/>
        </w:rPr>
        <w:t xml:space="preserve"> בגין שרידי הרכב. אשר לשאלת הפרשי ההצמדה והריבית, הוצאות המשפט ושכ"ט עו"ד</w:t>
      </w:r>
      <w:r w:rsidR="00232AFF">
        <w:rPr>
          <w:rFonts w:hint="cs" w:ascii="Arial" w:hAnsi="Arial"/>
          <w:noProof w:val="0"/>
          <w:rtl/>
        </w:rPr>
        <w:t>,</w:t>
      </w:r>
      <w:r w:rsidRPr="004E400B">
        <w:rPr>
          <w:rFonts w:hint="cs" w:ascii="Arial" w:hAnsi="Arial"/>
          <w:noProof w:val="0"/>
          <w:rtl/>
        </w:rPr>
        <w:t xml:space="preserve"> הסכימו הצדדים כי בית המשפט יפסוק בסוגיות אלו על סמך החומר הקיים בתיק וסיכומים קצרים בכתב</w:t>
      </w:r>
      <w:r w:rsidR="003553C5">
        <w:rPr>
          <w:rFonts w:hint="cs" w:ascii="Arial" w:hAnsi="Arial"/>
          <w:noProof w:val="0"/>
          <w:rtl/>
        </w:rPr>
        <w:t xml:space="preserve"> של ב"כ הצדדים</w:t>
      </w:r>
      <w:r w:rsidRPr="004E400B">
        <w:rPr>
          <w:rFonts w:hint="cs" w:ascii="Arial" w:hAnsi="Arial"/>
          <w:noProof w:val="0"/>
          <w:rtl/>
        </w:rPr>
        <w:t>.</w:t>
      </w:r>
    </w:p>
    <w:p w:rsidR="00EF4EA7" w:rsidP="004E400B" w:rsidRDefault="00EF4EA7">
      <w:pPr>
        <w:pStyle w:val="ad"/>
        <w:numPr>
          <w:ilvl w:val="0"/>
          <w:numId w:val="1"/>
        </w:numPr>
        <w:spacing w:before="240" w:after="240" w:line="360" w:lineRule="auto"/>
        <w:ind w:left="714" w:hanging="357"/>
        <w:contextualSpacing w:val="0"/>
        <w:jc w:val="both"/>
        <w:rPr>
          <w:rFonts w:ascii="Arial" w:hAnsi="Arial"/>
          <w:noProof w:val="0"/>
        </w:rPr>
      </w:pPr>
      <w:r>
        <w:rPr>
          <w:rFonts w:hint="cs" w:ascii="Arial" w:hAnsi="Arial"/>
          <w:noProof w:val="0"/>
          <w:rtl/>
        </w:rPr>
        <w:t>שני הצדדים הגישו סיכומים בכתב כאשר כל צד ניסה להטיל את "האשמה" בניהול ההליך המשפטי על הצד השני. הצדדים חזרו על עיקר הדברים שנטענו בכתבי הטענות. התובע ביקש לפסוק לטובתו סך</w:t>
      </w:r>
      <w:r w:rsidRPr="0062615A">
        <w:rPr>
          <w:rFonts w:hint="cs" w:ascii="Arial" w:hAnsi="Arial"/>
          <w:noProof w:val="0"/>
          <w:rtl/>
        </w:rPr>
        <w:t xml:space="preserve"> של 1,220 ₪ בגין הפרשי הצמדה וריבית על הסך של </w:t>
      </w:r>
      <w:r w:rsidRPr="0062615A" w:rsidR="00991D0B">
        <w:rPr>
          <w:rFonts w:hint="cs" w:ascii="Arial" w:hAnsi="Arial"/>
          <w:noProof w:val="0"/>
          <w:rtl/>
        </w:rPr>
        <w:t xml:space="preserve">21,833 ₪ </w:t>
      </w:r>
      <w:r w:rsidR="00991D0B">
        <w:rPr>
          <w:rFonts w:hint="cs" w:ascii="Arial" w:hAnsi="Arial"/>
          <w:noProof w:val="0"/>
          <w:rtl/>
        </w:rPr>
        <w:t xml:space="preserve">(סכום הפשרה) מיום התאונה ב- 04.08.2016 ועד ליום 31.01.2021. בנוסף, ביקש התובע לחייב את הנתבעת לשלם לו מחצית ראשונה של אגרת בית משפט ושכ"ט עו"ד ריאלי בסך 8,000 ₪. מנגד, ביקשה הנתבעת שלא לחייבה לשלם הוצאות </w:t>
      </w:r>
      <w:r w:rsidR="00F33B78">
        <w:rPr>
          <w:rFonts w:hint="cs" w:ascii="Arial" w:hAnsi="Arial"/>
          <w:noProof w:val="0"/>
          <w:rtl/>
        </w:rPr>
        <w:t xml:space="preserve">משפט והפרשי הצמדה וריבית </w:t>
      </w:r>
      <w:r w:rsidR="00991D0B">
        <w:rPr>
          <w:rFonts w:hint="cs" w:ascii="Arial" w:hAnsi="Arial"/>
          <w:noProof w:val="0"/>
          <w:rtl/>
        </w:rPr>
        <w:t>לתובע, אלא לחייב את התובע לשלם לה הוצאות משפט בשל ניהול הליך סרק והוצאות מיותרות שנגרמו לנתבעת עקב הליך זה.</w:t>
      </w:r>
    </w:p>
    <w:p w:rsidRPr="004E400B" w:rsidR="004E400B" w:rsidP="004E400B" w:rsidRDefault="0070372D">
      <w:pPr>
        <w:spacing w:line="360" w:lineRule="auto"/>
        <w:jc w:val="both"/>
        <w:rPr>
          <w:rFonts w:asciiTheme="minorBidi" w:hAnsiTheme="minorBidi" w:cstheme="minorBidi"/>
          <w:b/>
          <w:bCs/>
          <w:noProof w:val="0"/>
          <w:spacing w:val="20"/>
          <w:sz w:val="26"/>
          <w:szCs w:val="26"/>
        </w:rPr>
      </w:pPr>
      <w:r>
        <w:rPr>
          <w:rFonts w:hint="cs" w:asciiTheme="minorBidi" w:hAnsiTheme="minorBidi" w:cstheme="minorBidi"/>
          <w:b/>
          <w:bCs/>
          <w:noProof w:val="0"/>
          <w:spacing w:val="20"/>
          <w:sz w:val="26"/>
          <w:szCs w:val="26"/>
          <w:u w:val="single"/>
          <w:rtl/>
        </w:rPr>
        <w:t>המסגרת המשפטית לפסיקת הוצאות משפט על-פי התקנות החדשות</w:t>
      </w:r>
      <w:r w:rsidRPr="004E400B" w:rsidR="004E400B">
        <w:rPr>
          <w:rFonts w:asciiTheme="minorBidi" w:hAnsiTheme="minorBidi" w:cstheme="minorBidi"/>
          <w:b/>
          <w:bCs/>
          <w:noProof w:val="0"/>
          <w:spacing w:val="20"/>
          <w:sz w:val="26"/>
          <w:szCs w:val="26"/>
          <w:rtl/>
        </w:rPr>
        <w:t>:</w:t>
      </w:r>
    </w:p>
    <w:p w:rsidRPr="0070372D" w:rsidR="0070372D" w:rsidP="00507067" w:rsidRDefault="00DF43BA">
      <w:pPr>
        <w:pStyle w:val="ad"/>
        <w:numPr>
          <w:ilvl w:val="0"/>
          <w:numId w:val="1"/>
        </w:numPr>
        <w:spacing w:before="240" w:after="240" w:line="360" w:lineRule="auto"/>
        <w:ind w:left="714" w:hanging="357"/>
        <w:contextualSpacing w:val="0"/>
        <w:jc w:val="both"/>
        <w:rPr>
          <w:rFonts w:ascii="David" w:hAnsi="David"/>
          <w:noProof w:val="0"/>
        </w:rPr>
      </w:pPr>
      <w:r w:rsidRPr="0070372D">
        <w:rPr>
          <w:rFonts w:ascii="David" w:hAnsi="David"/>
          <w:rtl/>
        </w:rPr>
        <w:t>ההורא</w:t>
      </w:r>
      <w:r w:rsidRPr="0070372D" w:rsidR="00D92A82">
        <w:rPr>
          <w:rFonts w:ascii="David" w:hAnsi="David"/>
          <w:rtl/>
        </w:rPr>
        <w:t>ות</w:t>
      </w:r>
      <w:r w:rsidRPr="0070372D">
        <w:rPr>
          <w:rFonts w:ascii="David" w:hAnsi="David"/>
          <w:rtl/>
        </w:rPr>
        <w:t xml:space="preserve"> העקרונית ב</w:t>
      </w:r>
      <w:r w:rsidRPr="0070372D" w:rsidR="0070372D">
        <w:rPr>
          <w:rFonts w:ascii="David" w:hAnsi="David"/>
          <w:rtl/>
        </w:rPr>
        <w:t>עניין ההוצאות</w:t>
      </w:r>
      <w:r w:rsidRPr="0070372D">
        <w:rPr>
          <w:rFonts w:ascii="David" w:hAnsi="David"/>
          <w:rtl/>
        </w:rPr>
        <w:t xml:space="preserve"> </w:t>
      </w:r>
      <w:r w:rsidRPr="0070372D" w:rsidR="0070372D">
        <w:rPr>
          <w:rFonts w:ascii="David" w:hAnsi="David"/>
          <w:rtl/>
        </w:rPr>
        <w:t>מצויות</w:t>
      </w:r>
      <w:r w:rsidRPr="0070372D" w:rsidR="00D92A82">
        <w:rPr>
          <w:rFonts w:ascii="David" w:hAnsi="David"/>
          <w:rtl/>
        </w:rPr>
        <w:t xml:space="preserve"> בפרק י"ח לתקנות סדר הדין האזרחי, התשע"ט-2018</w:t>
      </w:r>
      <w:r w:rsidRPr="0070372D" w:rsidR="003124DA">
        <w:rPr>
          <w:rFonts w:ascii="David" w:hAnsi="David"/>
          <w:rtl/>
        </w:rPr>
        <w:t xml:space="preserve"> (להלן</w:t>
      </w:r>
      <w:r w:rsidRPr="0070372D" w:rsidR="0070372D">
        <w:rPr>
          <w:rFonts w:ascii="David" w:hAnsi="David"/>
          <w:rtl/>
        </w:rPr>
        <w:t>:</w:t>
      </w:r>
      <w:r w:rsidRPr="0070372D" w:rsidR="0070372D">
        <w:rPr>
          <w:rFonts w:ascii="David" w:hAnsi="David"/>
          <w:b/>
          <w:bCs/>
          <w:rtl/>
        </w:rPr>
        <w:t>"</w:t>
      </w:r>
      <w:r w:rsidRPr="0070372D" w:rsidR="003124DA">
        <w:rPr>
          <w:rFonts w:ascii="David" w:hAnsi="David"/>
          <w:b/>
          <w:bCs/>
          <w:rtl/>
        </w:rPr>
        <w:t>התקנות החדשות</w:t>
      </w:r>
      <w:r w:rsidRPr="0070372D" w:rsidR="0070372D">
        <w:rPr>
          <w:rFonts w:ascii="David" w:hAnsi="David"/>
          <w:b/>
          <w:bCs/>
          <w:rtl/>
        </w:rPr>
        <w:t>"</w:t>
      </w:r>
      <w:r w:rsidRPr="0070372D" w:rsidR="003124DA">
        <w:rPr>
          <w:rFonts w:ascii="David" w:hAnsi="David"/>
          <w:rtl/>
        </w:rPr>
        <w:t>), והן ק</w:t>
      </w:r>
      <w:r w:rsidRPr="0070372D" w:rsidR="0070372D">
        <w:rPr>
          <w:rFonts w:ascii="David" w:hAnsi="David"/>
          <w:rtl/>
        </w:rPr>
        <w:t>ובעות</w:t>
      </w:r>
      <w:r w:rsidRPr="0070372D" w:rsidR="003124DA">
        <w:rPr>
          <w:rFonts w:ascii="David" w:hAnsi="David"/>
          <w:rtl/>
        </w:rPr>
        <w:t xml:space="preserve"> </w:t>
      </w:r>
      <w:r w:rsidRPr="0070372D" w:rsidR="003124DA">
        <w:rPr>
          <w:rFonts w:ascii="David" w:hAnsi="David"/>
          <w:b/>
          <w:bCs/>
          <w:spacing w:val="20"/>
          <w:w w:val="120"/>
          <w:rtl/>
        </w:rPr>
        <w:t>שינוי מהותי</w:t>
      </w:r>
      <w:r w:rsidRPr="0070372D" w:rsidR="003124DA">
        <w:rPr>
          <w:rFonts w:ascii="David" w:hAnsi="David"/>
          <w:b/>
          <w:bCs/>
          <w:rtl/>
        </w:rPr>
        <w:t xml:space="preserve"> </w:t>
      </w:r>
      <w:r w:rsidRPr="0070372D" w:rsidR="003124DA">
        <w:rPr>
          <w:rFonts w:ascii="David" w:hAnsi="David"/>
          <w:rtl/>
        </w:rPr>
        <w:t>בסוגיית ההוצאות, בעת פסיקת</w:t>
      </w:r>
      <w:r w:rsidRPr="0070372D" w:rsidR="0070372D">
        <w:rPr>
          <w:rFonts w:ascii="David" w:hAnsi="David"/>
          <w:rtl/>
        </w:rPr>
        <w:t>ן</w:t>
      </w:r>
      <w:r w:rsidRPr="0070372D" w:rsidR="003124DA">
        <w:rPr>
          <w:rFonts w:ascii="David" w:hAnsi="David"/>
          <w:rtl/>
        </w:rPr>
        <w:t xml:space="preserve"> בסיום ההליך, </w:t>
      </w:r>
      <w:r w:rsidRPr="0070372D" w:rsidR="0070372D">
        <w:rPr>
          <w:rFonts w:ascii="David" w:hAnsi="David"/>
          <w:rtl/>
        </w:rPr>
        <w:t xml:space="preserve">זאת בצד </w:t>
      </w:r>
      <w:r w:rsidR="00507067">
        <w:rPr>
          <w:rFonts w:hint="cs" w:ascii="David" w:hAnsi="David"/>
          <w:rtl/>
        </w:rPr>
        <w:t xml:space="preserve">הסדרת עניין </w:t>
      </w:r>
      <w:r w:rsidRPr="0070372D" w:rsidR="0070372D">
        <w:rPr>
          <w:rFonts w:ascii="David" w:hAnsi="David"/>
          <w:rtl/>
        </w:rPr>
        <w:t>פסיקת ה</w:t>
      </w:r>
      <w:r w:rsidR="00507067">
        <w:rPr>
          <w:rFonts w:hint="cs" w:ascii="David" w:hAnsi="David"/>
          <w:rtl/>
        </w:rPr>
        <w:t>ה</w:t>
      </w:r>
      <w:r w:rsidRPr="0070372D" w:rsidR="0070372D">
        <w:rPr>
          <w:rFonts w:ascii="David" w:hAnsi="David"/>
          <w:rtl/>
        </w:rPr>
        <w:t xml:space="preserve">וצאות </w:t>
      </w:r>
      <w:r w:rsidRPr="0070372D" w:rsidR="003124DA">
        <w:rPr>
          <w:rFonts w:ascii="David" w:hAnsi="David"/>
          <w:rtl/>
        </w:rPr>
        <w:t>בעת ההכרעה בכל בקשה ובקשה (תקנה</w:t>
      </w:r>
      <w:r w:rsidRPr="0070372D" w:rsidR="0070372D">
        <w:rPr>
          <w:rFonts w:ascii="David" w:hAnsi="David"/>
          <w:rtl/>
        </w:rPr>
        <w:t xml:space="preserve"> </w:t>
      </w:r>
      <w:r w:rsidRPr="0070372D" w:rsidR="003124DA">
        <w:rPr>
          <w:rFonts w:ascii="David" w:hAnsi="David"/>
          <w:rtl/>
        </w:rPr>
        <w:t>53)</w:t>
      </w:r>
      <w:r w:rsidRPr="0070372D" w:rsidR="006E64D1">
        <w:rPr>
          <w:rFonts w:ascii="David" w:hAnsi="David"/>
          <w:rtl/>
        </w:rPr>
        <w:t xml:space="preserve">. </w:t>
      </w:r>
      <w:r w:rsidR="0070372D">
        <w:rPr>
          <w:rFonts w:hint="cs"/>
          <w:sz w:val="28"/>
          <w:rtl/>
        </w:rPr>
        <w:t>בתקנות החדשות לעומת התקנות הישנות</w:t>
      </w:r>
      <w:r w:rsidR="0070372D">
        <w:rPr>
          <w:sz w:val="28"/>
          <w:rtl/>
        </w:rPr>
        <w:t xml:space="preserve">, נקבעה </w:t>
      </w:r>
      <w:r w:rsidRPr="003553C5" w:rsidR="0070372D">
        <w:rPr>
          <w:spacing w:val="20"/>
          <w:sz w:val="28"/>
          <w:rtl/>
        </w:rPr>
        <w:t>ברירת מחדל</w:t>
      </w:r>
      <w:r w:rsidR="0070372D">
        <w:rPr>
          <w:sz w:val="28"/>
          <w:rtl/>
        </w:rPr>
        <w:t xml:space="preserve"> של חיוב בהוצאות כאשר על בית המשפט להצביע על טעמים מיוחדים על מנת שלא לעשות כן</w:t>
      </w:r>
      <w:r w:rsidR="00D53811">
        <w:rPr>
          <w:rFonts w:hint="cs"/>
          <w:sz w:val="28"/>
          <w:rtl/>
        </w:rPr>
        <w:t xml:space="preserve"> (ראו תקנות: 37(י); 38(ב); 53; </w:t>
      </w:r>
      <w:r w:rsidR="00232AFF">
        <w:rPr>
          <w:rFonts w:hint="cs"/>
          <w:sz w:val="28"/>
          <w:rtl/>
        </w:rPr>
        <w:t>ו- 152</w:t>
      </w:r>
      <w:r w:rsidR="00D53811">
        <w:rPr>
          <w:rFonts w:hint="cs"/>
          <w:sz w:val="28"/>
          <w:rtl/>
        </w:rPr>
        <w:t>)</w:t>
      </w:r>
      <w:r w:rsidR="0070372D">
        <w:rPr>
          <w:sz w:val="28"/>
          <w:rtl/>
        </w:rPr>
        <w:t xml:space="preserve">. </w:t>
      </w:r>
      <w:r w:rsidRPr="0070372D" w:rsidR="00F22AA3">
        <w:rPr>
          <w:rFonts w:ascii="David" w:hAnsi="David"/>
          <w:sz w:val="28"/>
          <w:rtl/>
        </w:rPr>
        <w:t>יצוין</w:t>
      </w:r>
      <w:r w:rsidRPr="0070372D" w:rsidR="0070372D">
        <w:rPr>
          <w:rFonts w:ascii="David" w:hAnsi="David"/>
          <w:sz w:val="28"/>
          <w:rtl/>
        </w:rPr>
        <w:t>,</w:t>
      </w:r>
      <w:r w:rsidRPr="0070372D" w:rsidR="00F22AA3">
        <w:rPr>
          <w:rFonts w:ascii="David" w:hAnsi="David"/>
          <w:sz w:val="28"/>
          <w:rtl/>
        </w:rPr>
        <w:t xml:space="preserve"> כי עתירה נגד חוקיותן של התקנות החדשות, ובפרט התקנות הנוגעות לסוגיית פסיקת הוצאות נדחתה על ידי בית משפט </w:t>
      </w:r>
      <w:r w:rsidRPr="0070372D" w:rsidR="0070372D">
        <w:rPr>
          <w:rFonts w:ascii="David" w:hAnsi="David"/>
          <w:sz w:val="28"/>
          <w:rtl/>
        </w:rPr>
        <w:t>העליון</w:t>
      </w:r>
      <w:r w:rsidRPr="0070372D" w:rsidR="00F22AA3">
        <w:rPr>
          <w:rFonts w:ascii="David" w:hAnsi="David"/>
          <w:sz w:val="28"/>
          <w:rtl/>
        </w:rPr>
        <w:t xml:space="preserve"> (ראו:</w:t>
      </w:r>
      <w:r w:rsidRPr="0070372D" w:rsidR="0070372D">
        <w:rPr>
          <w:rFonts w:ascii="David" w:hAnsi="David"/>
          <w:sz w:val="28"/>
          <w:rtl/>
        </w:rPr>
        <w:t xml:space="preserve"> בג"ץ 8684/20 </w:t>
      </w:r>
      <w:r w:rsidRPr="003553C5" w:rsidR="00F22AA3">
        <w:rPr>
          <w:rFonts w:ascii="David" w:hAnsi="David"/>
          <w:bCs/>
          <w:sz w:val="22"/>
          <w:rtl/>
        </w:rPr>
        <w:t>לשכת עורכי הדין בישראל נ' שר המשפטים</w:t>
      </w:r>
      <w:r w:rsidRPr="0070372D" w:rsidR="00F22AA3">
        <w:rPr>
          <w:rFonts w:ascii="David" w:hAnsi="David"/>
          <w:sz w:val="28"/>
          <w:rtl/>
        </w:rPr>
        <w:t xml:space="preserve"> (27.12.2020)).</w:t>
      </w:r>
    </w:p>
    <w:p w:rsidRPr="0070372D" w:rsidR="0070372D" w:rsidP="0070372D" w:rsidRDefault="0070372D">
      <w:pPr>
        <w:pStyle w:val="ad"/>
        <w:numPr>
          <w:ilvl w:val="0"/>
          <w:numId w:val="1"/>
        </w:numPr>
        <w:spacing w:before="240" w:after="240" w:line="360" w:lineRule="auto"/>
        <w:ind w:left="714" w:hanging="357"/>
        <w:contextualSpacing w:val="0"/>
        <w:jc w:val="both"/>
        <w:rPr>
          <w:rFonts w:ascii="David" w:hAnsi="David"/>
          <w:noProof w:val="0"/>
        </w:rPr>
      </w:pPr>
      <w:r>
        <w:rPr>
          <w:rFonts w:hint="cs" w:ascii="David" w:hAnsi="David"/>
          <w:sz w:val="28"/>
          <w:rtl/>
        </w:rPr>
        <w:t xml:space="preserve">וליתר פירוט, </w:t>
      </w:r>
      <w:r w:rsidRPr="0070372D" w:rsidR="006E64D1">
        <w:rPr>
          <w:rFonts w:hint="cs" w:ascii="Arial" w:hAnsi="Arial"/>
          <w:rtl/>
        </w:rPr>
        <w:t xml:space="preserve">תקנה 153 לתקנות החדשות קובעת </w:t>
      </w:r>
      <w:r w:rsidRPr="0070372D" w:rsidR="00F22AA3">
        <w:rPr>
          <w:rFonts w:hint="cs" w:ascii="Arial" w:hAnsi="Arial"/>
          <w:rtl/>
        </w:rPr>
        <w:t xml:space="preserve">הכלל </w:t>
      </w:r>
      <w:r w:rsidRPr="0070372D" w:rsidR="006E64D1">
        <w:rPr>
          <w:rFonts w:ascii="David" w:hAnsi="David"/>
          <w:noProof w:val="0"/>
          <w:rtl/>
        </w:rPr>
        <w:t>כי בתום כל דיון, על בית המשפט לפסוק הוצאות הבקשה ועל מי הן תחולנה, וזו לשונה:</w:t>
      </w:r>
      <w:r w:rsidRPr="0070372D" w:rsidR="006E64D1">
        <w:rPr>
          <w:rFonts w:hint="cs" w:ascii="David" w:hAnsi="David"/>
          <w:b/>
          <w:bCs/>
          <w:noProof w:val="0"/>
          <w:rtl/>
        </w:rPr>
        <w:t xml:space="preserve"> "</w:t>
      </w:r>
      <w:r w:rsidRPr="0070372D" w:rsidR="006E64D1">
        <w:rPr>
          <w:rFonts w:ascii="David" w:hAnsi="David"/>
          <w:b/>
          <w:bCs/>
          <w:noProof w:val="0"/>
          <w:rtl/>
        </w:rPr>
        <w:t>בתום הדיון בכל בקשה יפסוק בית המשפט את הוצאות הבקשה ועל מי הן חלות, בלא קשר לתוצאות ההליך העיקרי, זולת אם מצא שקיימים טעמים מיוחדים שלא לחייב בהוצאות כאמור".</w:t>
      </w:r>
    </w:p>
    <w:p w:rsidRPr="003553C5" w:rsidR="00240114" w:rsidP="003553C5" w:rsidRDefault="005644F4">
      <w:pPr>
        <w:pStyle w:val="ad"/>
        <w:numPr>
          <w:ilvl w:val="0"/>
          <w:numId w:val="1"/>
        </w:numPr>
        <w:spacing w:before="240" w:after="240" w:line="360" w:lineRule="auto"/>
        <w:ind w:left="714" w:hanging="357"/>
        <w:contextualSpacing w:val="0"/>
        <w:jc w:val="both"/>
        <w:rPr>
          <w:rFonts w:ascii="David" w:hAnsi="David"/>
          <w:noProof w:val="0"/>
        </w:rPr>
      </w:pPr>
      <w:r w:rsidRPr="0070372D">
        <w:rPr>
          <w:rFonts w:ascii="David" w:hAnsi="David"/>
          <w:rtl/>
        </w:rPr>
        <w:lastRenderedPageBreak/>
        <w:t>בראי</w:t>
      </w:r>
      <w:r w:rsidRPr="0070372D">
        <w:rPr>
          <w:rFonts w:hint="cs" w:ascii="David" w:hAnsi="David"/>
          <w:rtl/>
        </w:rPr>
        <w:t xml:space="preserve"> תקנה 151(א) </w:t>
      </w:r>
      <w:r w:rsidRPr="0070372D">
        <w:rPr>
          <w:rFonts w:ascii="David" w:hAnsi="David"/>
          <w:rtl/>
        </w:rPr>
        <w:t>לתקנות החדשות</w:t>
      </w:r>
      <w:r w:rsidRPr="0070372D">
        <w:rPr>
          <w:rFonts w:hint="cs" w:ascii="David" w:hAnsi="David"/>
          <w:rtl/>
        </w:rPr>
        <w:t>,</w:t>
      </w:r>
      <w:r w:rsidRPr="0070372D">
        <w:rPr>
          <w:rFonts w:ascii="David" w:hAnsi="David"/>
          <w:rtl/>
        </w:rPr>
        <w:t xml:space="preserve"> תכלית חיוב בעל דין בהוצאות היא </w:t>
      </w:r>
      <w:r w:rsidRPr="0070372D">
        <w:rPr>
          <w:rFonts w:ascii="David" w:hAnsi="David"/>
          <w:b/>
          <w:bCs/>
          <w:rtl/>
        </w:rPr>
        <w:t>"לשפות את בעל הדין שכנגד על הוצאותיו בהליך בהתחשב בתוצאותיו, במשאבים שנדרשו לניהולו ובהתנהלות בעלי הדין</w:t>
      </w:r>
      <w:r w:rsidRPr="0070372D">
        <w:rPr>
          <w:rFonts w:ascii="David" w:hAnsi="David"/>
          <w:rtl/>
        </w:rPr>
        <w:t>"</w:t>
      </w:r>
      <w:r w:rsidR="003553C5">
        <w:rPr>
          <w:rFonts w:hint="cs" w:ascii="David" w:hAnsi="David"/>
          <w:rtl/>
        </w:rPr>
        <w:t>,</w:t>
      </w:r>
      <w:r w:rsidRPr="0070372D">
        <w:rPr>
          <w:rFonts w:ascii="David" w:hAnsi="David"/>
          <w:rtl/>
        </w:rPr>
        <w:t xml:space="preserve"> כאשר במסגרת שומת ההוצאות, ידרש בית המשפט לבטא את </w:t>
      </w:r>
      <w:r w:rsidRPr="0070372D">
        <w:rPr>
          <w:rFonts w:ascii="David" w:hAnsi="David"/>
          <w:b/>
          <w:bCs/>
          <w:rtl/>
        </w:rPr>
        <w:t>"האיזון הראוי שבין הבטחת זכות הגישה לערכאות, הגנה על זכות הקניין של הפרט ושמירה על שוויון בין בעלי הדין</w:t>
      </w:r>
      <w:r w:rsidRPr="0070372D">
        <w:rPr>
          <w:rFonts w:ascii="David" w:hAnsi="David"/>
          <w:rtl/>
        </w:rPr>
        <w:t xml:space="preserve">" </w:t>
      </w:r>
      <w:r w:rsidRPr="0070372D">
        <w:rPr>
          <w:rFonts w:hint="cs" w:ascii="David" w:hAnsi="David"/>
          <w:rtl/>
        </w:rPr>
        <w:t>(תקנה 151(ב)</w:t>
      </w:r>
      <w:r w:rsidR="0070372D">
        <w:rPr>
          <w:rFonts w:hint="cs" w:ascii="David" w:hAnsi="David"/>
          <w:rtl/>
        </w:rPr>
        <w:t>)</w:t>
      </w:r>
      <w:r w:rsidRPr="0070372D">
        <w:rPr>
          <w:rFonts w:ascii="David" w:hAnsi="David"/>
          <w:rtl/>
        </w:rPr>
        <w:t>.</w:t>
      </w:r>
      <w:r w:rsidRPr="0070372D">
        <w:rPr>
          <w:rFonts w:hint="cs" w:ascii="David" w:hAnsi="David"/>
          <w:rtl/>
        </w:rPr>
        <w:t xml:space="preserve"> תקנה 151(ג) </w:t>
      </w:r>
      <w:r w:rsidRPr="0070372D">
        <w:rPr>
          <w:rFonts w:ascii="David" w:hAnsi="David"/>
          <w:rtl/>
        </w:rPr>
        <w:t xml:space="preserve">לתקנות החדשות מתייחסת באופן מפורש לפסיקת הוצאות לבעל דין שעשה שימוש לרעה בהליכי משפט וקובעת כי בית המשפט </w:t>
      </w:r>
      <w:r w:rsidRPr="0070372D">
        <w:rPr>
          <w:rFonts w:ascii="David" w:hAnsi="David"/>
          <w:b/>
          <w:bCs/>
          <w:rtl/>
        </w:rPr>
        <w:t>"רשאי לחייבו בהוצאות לטובת הנפגע או לטובת אוצר המדינה ובנסיבות מיוחדות אף את בא כוחו"</w:t>
      </w:r>
      <w:r w:rsidRPr="0070372D">
        <w:rPr>
          <w:rFonts w:ascii="David" w:hAnsi="David"/>
          <w:rtl/>
        </w:rPr>
        <w:t xml:space="preserve"> (שימוש לרעה בהליך השיפוטי מוגדר</w:t>
      </w:r>
      <w:r w:rsidRPr="0070372D">
        <w:rPr>
          <w:rFonts w:hint="cs" w:ascii="David" w:hAnsi="David"/>
          <w:rtl/>
        </w:rPr>
        <w:t xml:space="preserve"> בתקנה 4</w:t>
      </w:r>
      <w:r w:rsidRPr="0070372D">
        <w:rPr>
          <w:rFonts w:ascii="David" w:hAnsi="David"/>
          <w:rtl/>
        </w:rPr>
        <w:t xml:space="preserve"> לתקנות החדשות</w:t>
      </w:r>
      <w:r w:rsidRPr="0070372D">
        <w:rPr>
          <w:rFonts w:hint="cs" w:ascii="David" w:hAnsi="David"/>
          <w:rtl/>
        </w:rPr>
        <w:t>)</w:t>
      </w:r>
      <w:r w:rsidR="003553C5">
        <w:rPr>
          <w:rFonts w:hint="cs" w:ascii="David" w:hAnsi="David"/>
          <w:rtl/>
        </w:rPr>
        <w:t xml:space="preserve">. </w:t>
      </w:r>
      <w:r w:rsidRPr="003553C5" w:rsidR="006E64D1">
        <w:rPr>
          <w:rFonts w:ascii="David" w:hAnsi="David"/>
          <w:noProof w:val="0"/>
          <w:rtl/>
        </w:rPr>
        <w:t>עם זאת</w:t>
      </w:r>
      <w:r w:rsidRPr="003553C5">
        <w:rPr>
          <w:rFonts w:hint="cs" w:ascii="David" w:hAnsi="David"/>
          <w:noProof w:val="0"/>
          <w:rtl/>
        </w:rPr>
        <w:t>,</w:t>
      </w:r>
      <w:r w:rsidRPr="003553C5" w:rsidR="006E64D1">
        <w:rPr>
          <w:rFonts w:ascii="David" w:hAnsi="David"/>
          <w:noProof w:val="0"/>
          <w:rtl/>
        </w:rPr>
        <w:t xml:space="preserve"> בהתאם לתקנות</w:t>
      </w:r>
      <w:r w:rsidRPr="003553C5" w:rsidR="006E64D1">
        <w:rPr>
          <w:rFonts w:hint="cs" w:ascii="David" w:hAnsi="David"/>
          <w:noProof w:val="0"/>
          <w:rtl/>
        </w:rPr>
        <w:t xml:space="preserve"> 152 ו- 153</w:t>
      </w:r>
      <w:r w:rsidRPr="003553C5" w:rsidR="006E64D1">
        <w:rPr>
          <w:rFonts w:ascii="David" w:hAnsi="David"/>
          <w:noProof w:val="0"/>
          <w:rtl/>
        </w:rPr>
        <w:t>, בהתקיים טעמים מיוחדים, רשאי בית המשפט שלא לפסוק הוצאות.</w:t>
      </w:r>
    </w:p>
    <w:p w:rsidRPr="003553C5" w:rsidR="003553C5" w:rsidP="003553C5" w:rsidRDefault="006E64D1">
      <w:pPr>
        <w:pStyle w:val="ad"/>
        <w:numPr>
          <w:ilvl w:val="0"/>
          <w:numId w:val="1"/>
        </w:numPr>
        <w:spacing w:before="240" w:after="240" w:line="360" w:lineRule="auto"/>
        <w:ind w:left="714" w:hanging="357"/>
        <w:contextualSpacing w:val="0"/>
        <w:jc w:val="both"/>
        <w:rPr>
          <w:rFonts w:ascii="David" w:hAnsi="David"/>
          <w:noProof w:val="0"/>
        </w:rPr>
      </w:pPr>
      <w:r w:rsidRPr="00240114">
        <w:rPr>
          <w:rFonts w:hint="cs" w:ascii="Arial" w:hAnsi="Arial"/>
          <w:rtl/>
        </w:rPr>
        <w:t xml:space="preserve">יש לציין כי </w:t>
      </w:r>
      <w:r w:rsidRPr="00240114" w:rsidR="00DF43BA">
        <w:rPr>
          <w:rFonts w:ascii="Arial" w:hAnsi="Arial"/>
          <w:rtl/>
        </w:rPr>
        <w:t>הלכה היא</w:t>
      </w:r>
      <w:r w:rsidRPr="00240114" w:rsidR="00D92A82">
        <w:rPr>
          <w:rFonts w:hint="cs" w:ascii="Arial" w:hAnsi="Arial"/>
          <w:rtl/>
        </w:rPr>
        <w:t xml:space="preserve">, עוד בטרם כניסתן לתוקף של </w:t>
      </w:r>
      <w:r w:rsidRPr="00240114">
        <w:rPr>
          <w:rFonts w:hint="cs" w:ascii="Arial" w:hAnsi="Arial"/>
          <w:rtl/>
        </w:rPr>
        <w:t>ה</w:t>
      </w:r>
      <w:r w:rsidRPr="00240114" w:rsidR="00D92A82">
        <w:rPr>
          <w:rFonts w:hint="cs" w:ascii="Arial" w:hAnsi="Arial"/>
          <w:rtl/>
        </w:rPr>
        <w:t>תקנות החדשות,</w:t>
      </w:r>
      <w:r w:rsidRPr="00240114" w:rsidR="00DF43BA">
        <w:rPr>
          <w:rFonts w:ascii="Arial" w:hAnsi="Arial"/>
          <w:rtl/>
        </w:rPr>
        <w:t xml:space="preserve"> כי פסיקת הוצאות משפט מסורה לשיקול דעתה הרחב מאוד של הערכאה הדיונית, הרואה לנגד עיניה את מכלול נסיבות הסכסוך, את התנהלות בעלי הדין לאורך המשפט ויתר הגורמים המשפיעים על קביעת שכר הטרחה וההוצאות</w:t>
      </w:r>
      <w:r w:rsidRPr="00240114" w:rsidR="00D92A82">
        <w:rPr>
          <w:rFonts w:hint="cs" w:ascii="Arial" w:hAnsi="Arial"/>
          <w:rtl/>
        </w:rPr>
        <w:t>.</w:t>
      </w:r>
      <w:r w:rsidRPr="00240114" w:rsidR="005644F4">
        <w:rPr>
          <w:rFonts w:hint="cs" w:ascii="Arial" w:hAnsi="Arial"/>
          <w:noProof w:val="0"/>
          <w:rtl/>
        </w:rPr>
        <w:t xml:space="preserve"> </w:t>
      </w:r>
    </w:p>
    <w:p w:rsidRPr="00240114" w:rsidR="00240114" w:rsidP="003553C5" w:rsidRDefault="003553C5">
      <w:pPr>
        <w:pStyle w:val="ad"/>
        <w:numPr>
          <w:ilvl w:val="0"/>
          <w:numId w:val="1"/>
        </w:numPr>
        <w:spacing w:before="240" w:after="240" w:line="360" w:lineRule="auto"/>
        <w:ind w:left="714" w:hanging="357"/>
        <w:contextualSpacing w:val="0"/>
        <w:jc w:val="both"/>
        <w:rPr>
          <w:rFonts w:ascii="David" w:hAnsi="David"/>
          <w:noProof w:val="0"/>
        </w:rPr>
      </w:pPr>
      <w:r>
        <w:rPr>
          <w:rFonts w:hint="cs"/>
          <w:sz w:val="28"/>
          <w:rtl/>
        </w:rPr>
        <w:t xml:space="preserve">ודוק, </w:t>
      </w:r>
      <w:r w:rsidRPr="00240114" w:rsidR="005644F4">
        <w:rPr>
          <w:sz w:val="28"/>
          <w:rtl/>
        </w:rPr>
        <w:t>הבסיס לפסיקת הוצאות אינו עונשי או נזיקי, כי אם חיוב מכוח הדין המקנה שיקול דעת לבית המשפט</w:t>
      </w:r>
      <w:r w:rsidRPr="00240114" w:rsidR="00240114">
        <w:rPr>
          <w:rFonts w:hint="cs"/>
          <w:sz w:val="28"/>
          <w:rtl/>
        </w:rPr>
        <w:t>.</w:t>
      </w:r>
    </w:p>
    <w:p w:rsidRPr="00240114" w:rsidR="00240114" w:rsidP="00240114" w:rsidRDefault="00B27977">
      <w:pPr>
        <w:pStyle w:val="ad"/>
        <w:numPr>
          <w:ilvl w:val="0"/>
          <w:numId w:val="1"/>
        </w:numPr>
        <w:spacing w:before="240" w:after="240" w:line="360" w:lineRule="auto"/>
        <w:ind w:left="714" w:hanging="357"/>
        <w:contextualSpacing w:val="0"/>
        <w:jc w:val="both"/>
        <w:rPr>
          <w:rFonts w:ascii="David" w:hAnsi="David"/>
          <w:noProof w:val="0"/>
        </w:rPr>
      </w:pPr>
      <w:r w:rsidRPr="00240114">
        <w:rPr>
          <w:rFonts w:hint="cs" w:ascii="Arimo" w:hAnsi="Arimo"/>
          <w:rtl/>
        </w:rPr>
        <w:t>ב</w:t>
      </w:r>
      <w:r w:rsidRPr="00240114">
        <w:rPr>
          <w:rFonts w:ascii="Arimo" w:hAnsi="Arimo"/>
          <w:rtl/>
        </w:rPr>
        <w:t>רע"א 7650</w:t>
      </w:r>
      <w:r w:rsidRPr="00240114">
        <w:rPr>
          <w:rFonts w:hint="cs" w:ascii="Arimo" w:hAnsi="Arimo"/>
          <w:rtl/>
        </w:rPr>
        <w:t>/</w:t>
      </w:r>
      <w:r w:rsidRPr="00240114">
        <w:rPr>
          <w:rFonts w:ascii="Arimo" w:hAnsi="Arimo"/>
          <w:rtl/>
        </w:rPr>
        <w:t xml:space="preserve">20 </w:t>
      </w:r>
      <w:r w:rsidRPr="00240114">
        <w:rPr>
          <w:rFonts w:ascii="Arimo" w:hAnsi="Arimo"/>
          <w:b/>
          <w:bCs/>
        </w:rPr>
        <w:t>Magic Software Enterprises Ltd</w:t>
      </w:r>
      <w:r w:rsidRPr="00240114">
        <w:rPr>
          <w:rFonts w:ascii="Arimo" w:hAnsi="Arimo"/>
          <w:b/>
          <w:bCs/>
          <w:rtl/>
        </w:rPr>
        <w:t xml:space="preserve"> נ' פאיירפלאי בע"מ</w:t>
      </w:r>
      <w:r w:rsidRPr="00240114">
        <w:rPr>
          <w:rFonts w:hint="cs"/>
          <w:sz w:val="28"/>
          <w:rtl/>
        </w:rPr>
        <w:t xml:space="preserve"> (28.12.2020), נקבע כי </w:t>
      </w:r>
      <w:r w:rsidRPr="00240114">
        <w:rPr>
          <w:sz w:val="28"/>
          <w:rtl/>
        </w:rPr>
        <w:t>נקודת המוצא היא כי בעל דין שאינו זוכה בהליך יחויב בהוצאותיו הריאליות של הצד שכנגד שזכה. הדבר נועד למנוע חיסרון כיס של הצד הזוכה; להרתיע תובעים בכוח מנקיטת הליכי סרק; ולעודד נתבעים בכוח להימנע מהתגוננות סרק מפני תביעה ראויה. עם זאת, פסיקת הוצאות בשיעור ריאלי כפופה להיותן סבירות, מידתיות והכרחיות לניהול ההליך. הדרישה לסבירות ומידתיות ההוצאות באה למנוע מצב שבו הוצאות גבוהות יתר על המידה שיוטלו יביאו להרתעת יתר של בעלי הדין, ליצירת חוסר שוויון, ייקור של ההליכים המשפטיים ולפגיעה בזכות הגישה לערכאות. פסיקת הוצאות משפט מיועדת אפוא לאזן בין זכות הגישה לערכאות לבין שיקולים מוסדיים, ובהם מניעת תביעות סרק, שאיפה למניעת ניהול מכביד של ההליך או שימוש בהליך שלא בתום לב</w:t>
      </w:r>
      <w:r w:rsidRPr="00240114">
        <w:rPr>
          <w:rFonts w:hint="cs" w:ascii="Arial" w:hAnsi="Arial"/>
          <w:noProof w:val="0"/>
          <w:rtl/>
        </w:rPr>
        <w:t>.</w:t>
      </w:r>
    </w:p>
    <w:p w:rsidRPr="00240114" w:rsidR="00240114" w:rsidP="00240114" w:rsidRDefault="00B27977">
      <w:pPr>
        <w:pStyle w:val="ad"/>
        <w:numPr>
          <w:ilvl w:val="0"/>
          <w:numId w:val="1"/>
        </w:numPr>
        <w:spacing w:before="240" w:after="240" w:line="360" w:lineRule="auto"/>
        <w:ind w:left="714" w:hanging="357"/>
        <w:contextualSpacing w:val="0"/>
        <w:jc w:val="both"/>
        <w:rPr>
          <w:rFonts w:hint="cs" w:ascii="David" w:hAnsi="David"/>
          <w:noProof w:val="0"/>
        </w:rPr>
      </w:pPr>
      <w:r w:rsidRPr="00240114">
        <w:rPr>
          <w:rFonts w:hint="cs" w:ascii="Arial TUR" w:hAnsi="Arial TUR"/>
          <w:noProof w:val="0"/>
          <w:rtl/>
        </w:rPr>
        <w:t xml:space="preserve">אם כן, </w:t>
      </w:r>
      <w:r w:rsidRPr="00240114" w:rsidR="00DF43BA">
        <w:rPr>
          <w:rFonts w:ascii="Arial TUR" w:hAnsi="Arial TUR"/>
          <w:noProof w:val="0"/>
          <w:rtl/>
        </w:rPr>
        <w:t>בעל דין המבקש כי יושבו לידיו הוצאות אותן הוציא לטענתו בהליך משפטי נדרש ראשית להוכיח כי ההוצאות הנטענות אכן הוצאו על ידו בפועל או שהתחייב להוציאן; ושנית עליו להוכיח כי מדובר בהוצאות סבירות, מידתיות והכרחיות שהיו דרושות לניהול ההליך, בהתחשב בכלל נסיבות העניין (</w:t>
      </w:r>
      <w:r w:rsidRPr="00240114" w:rsidR="00DF43BA">
        <w:rPr>
          <w:rFonts w:ascii="Calibri" w:hAnsi="Calibri"/>
          <w:noProof w:val="0"/>
          <w:rtl/>
        </w:rPr>
        <w:t>ר</w:t>
      </w:r>
      <w:r w:rsidRPr="00240114" w:rsidR="00D92A82">
        <w:rPr>
          <w:rFonts w:hint="cs" w:ascii="Calibri" w:hAnsi="Calibri"/>
          <w:noProof w:val="0"/>
          <w:rtl/>
        </w:rPr>
        <w:t xml:space="preserve">או והשוו: </w:t>
      </w:r>
      <w:r w:rsidRPr="00240114" w:rsidR="00D92A82">
        <w:rPr>
          <w:rFonts w:ascii="David" w:hAnsi="David"/>
          <w:color w:val="000000"/>
          <w:rtl/>
        </w:rPr>
        <w:t>ה</w:t>
      </w:r>
      <w:r w:rsidR="00240114">
        <w:rPr>
          <w:rFonts w:hint="cs" w:ascii="David" w:hAnsi="David"/>
          <w:color w:val="000000"/>
          <w:rtl/>
        </w:rPr>
        <w:t>"</w:t>
      </w:r>
      <w:r w:rsidRPr="00240114" w:rsidR="00D92A82">
        <w:rPr>
          <w:rFonts w:ascii="David" w:hAnsi="David"/>
          <w:color w:val="000000"/>
          <w:rtl/>
        </w:rPr>
        <w:t>פ (ת"א) 21130-09-20</w:t>
      </w:r>
      <w:r w:rsidR="00240114">
        <w:rPr>
          <w:rFonts w:hint="cs" w:ascii="David" w:hAnsi="David"/>
          <w:color w:val="000000"/>
          <w:rtl/>
        </w:rPr>
        <w:t xml:space="preserve"> </w:t>
      </w:r>
      <w:r w:rsidRPr="00240114" w:rsidR="00D92A82">
        <w:rPr>
          <w:rFonts w:ascii="David" w:hAnsi="David"/>
          <w:b/>
          <w:bCs/>
          <w:color w:val="000000"/>
          <w:rtl/>
        </w:rPr>
        <w:t>יעקב אורן נ' מניה אדזיאשוילי</w:t>
      </w:r>
      <w:r w:rsidRPr="00240114" w:rsidR="00D92A82">
        <w:rPr>
          <w:rFonts w:hint="cs" w:ascii="David" w:hAnsi="David"/>
          <w:color w:val="000000"/>
          <w:rtl/>
        </w:rPr>
        <w:t xml:space="preserve"> (29.12.2020) </w:t>
      </w:r>
      <w:r w:rsidRPr="00240114" w:rsidR="00D92A82">
        <w:rPr>
          <w:rFonts w:hint="cs" w:ascii="Calibri" w:hAnsi="Calibri"/>
          <w:noProof w:val="0"/>
          <w:rtl/>
        </w:rPr>
        <w:t>והאסמכתאות המצוטטות שם)</w:t>
      </w:r>
      <w:r w:rsidR="00240114">
        <w:rPr>
          <w:rFonts w:hint="cs" w:ascii="Calibri" w:hAnsi="Calibri"/>
          <w:noProof w:val="0"/>
          <w:rtl/>
        </w:rPr>
        <w:t>.</w:t>
      </w:r>
    </w:p>
    <w:p w:rsidRPr="00240114" w:rsidR="00240114" w:rsidP="00240114" w:rsidRDefault="00240114">
      <w:pPr>
        <w:spacing w:line="360" w:lineRule="auto"/>
        <w:jc w:val="both"/>
        <w:rPr>
          <w:rFonts w:asciiTheme="minorBidi" w:hAnsiTheme="minorBidi" w:cstheme="minorBidi"/>
          <w:b/>
          <w:bCs/>
          <w:noProof w:val="0"/>
          <w:spacing w:val="20"/>
          <w:sz w:val="26"/>
          <w:szCs w:val="26"/>
        </w:rPr>
      </w:pPr>
      <w:r w:rsidRPr="00240114">
        <w:rPr>
          <w:rFonts w:hint="cs" w:asciiTheme="minorBidi" w:hAnsiTheme="minorBidi" w:cstheme="minorBidi"/>
          <w:b/>
          <w:bCs/>
          <w:noProof w:val="0"/>
          <w:spacing w:val="20"/>
          <w:sz w:val="26"/>
          <w:szCs w:val="26"/>
          <w:u w:val="single"/>
          <w:rtl/>
        </w:rPr>
        <w:lastRenderedPageBreak/>
        <w:t>דיון והכרעה</w:t>
      </w:r>
      <w:r w:rsidRPr="00240114">
        <w:rPr>
          <w:rFonts w:asciiTheme="minorBidi" w:hAnsiTheme="minorBidi" w:cstheme="minorBidi"/>
          <w:b/>
          <w:bCs/>
          <w:noProof w:val="0"/>
          <w:spacing w:val="20"/>
          <w:sz w:val="26"/>
          <w:szCs w:val="26"/>
          <w:rtl/>
        </w:rPr>
        <w:t>:</w:t>
      </w:r>
    </w:p>
    <w:p w:rsidR="00240114" w:rsidP="00240114" w:rsidRDefault="00DF43BA">
      <w:pPr>
        <w:pStyle w:val="ad"/>
        <w:numPr>
          <w:ilvl w:val="0"/>
          <w:numId w:val="1"/>
        </w:numPr>
        <w:spacing w:before="240" w:after="240" w:line="360" w:lineRule="auto"/>
        <w:ind w:left="714" w:hanging="357"/>
        <w:contextualSpacing w:val="0"/>
        <w:jc w:val="both"/>
        <w:rPr>
          <w:rFonts w:ascii="David" w:hAnsi="David"/>
          <w:noProof w:val="0"/>
        </w:rPr>
      </w:pPr>
      <w:r w:rsidRPr="00240114">
        <w:rPr>
          <w:rtl/>
        </w:rPr>
        <w:t xml:space="preserve">לאחר שנתתי דעתי לטיעוני הצדדים, </w:t>
      </w:r>
      <w:r w:rsidRPr="00240114" w:rsidR="006E64D1">
        <w:rPr>
          <w:rFonts w:hint="cs"/>
          <w:rtl/>
        </w:rPr>
        <w:t xml:space="preserve">ובהתאם </w:t>
      </w:r>
      <w:r w:rsidRPr="00240114" w:rsidR="006E64D1">
        <w:rPr>
          <w:rFonts w:hint="cs" w:ascii="David" w:hAnsi="David"/>
          <w:rtl/>
        </w:rPr>
        <w:t>ל</w:t>
      </w:r>
      <w:r w:rsidRPr="00240114" w:rsidR="006E64D1">
        <w:rPr>
          <w:rFonts w:ascii="David" w:hAnsi="David"/>
          <w:rtl/>
        </w:rPr>
        <w:t xml:space="preserve">אמות המידה הפסיקתיות הנוהגות, ולאמות המידה שבתקנות </w:t>
      </w:r>
      <w:r w:rsidRPr="00240114" w:rsidR="006E64D1">
        <w:rPr>
          <w:rFonts w:hint="cs" w:ascii="David" w:hAnsi="David"/>
          <w:rtl/>
        </w:rPr>
        <w:t xml:space="preserve">החדשות, </w:t>
      </w:r>
      <w:r w:rsidRPr="00240114" w:rsidR="006E64D1">
        <w:rPr>
          <w:rFonts w:hint="cs"/>
          <w:rtl/>
        </w:rPr>
        <w:t>נ</w:t>
      </w:r>
      <w:r w:rsidRPr="00240114">
        <w:rPr>
          <w:rtl/>
        </w:rPr>
        <w:t xml:space="preserve">חה דעתי כי </w:t>
      </w:r>
      <w:r w:rsidRPr="00240114" w:rsidR="006E64D1">
        <w:rPr>
          <w:rFonts w:hint="cs"/>
          <w:rtl/>
        </w:rPr>
        <w:t>יש</w:t>
      </w:r>
      <w:r w:rsidRPr="00240114">
        <w:rPr>
          <w:rtl/>
        </w:rPr>
        <w:t xml:space="preserve"> מקום ל</w:t>
      </w:r>
      <w:r w:rsidRPr="00240114" w:rsidR="006E64D1">
        <w:rPr>
          <w:rFonts w:hint="cs"/>
          <w:rtl/>
        </w:rPr>
        <w:t>חייב את הנתבעת בתשלום הוצאות משפט לט</w:t>
      </w:r>
      <w:r w:rsidRPr="00240114" w:rsidR="00E83A40">
        <w:rPr>
          <w:rFonts w:hint="cs"/>
          <w:rtl/>
        </w:rPr>
        <w:t>ובת התובע</w:t>
      </w:r>
      <w:r w:rsidRPr="00240114">
        <w:rPr>
          <w:rtl/>
        </w:rPr>
        <w:t>.</w:t>
      </w:r>
    </w:p>
    <w:p w:rsidR="003553C5" w:rsidP="00F86337" w:rsidRDefault="003124DA">
      <w:pPr>
        <w:pStyle w:val="ad"/>
        <w:numPr>
          <w:ilvl w:val="0"/>
          <w:numId w:val="1"/>
        </w:numPr>
        <w:spacing w:before="240" w:after="240" w:line="360" w:lineRule="auto"/>
        <w:ind w:left="714" w:hanging="357"/>
        <w:contextualSpacing w:val="0"/>
        <w:jc w:val="both"/>
        <w:rPr>
          <w:rFonts w:ascii="David" w:hAnsi="David"/>
          <w:noProof w:val="0"/>
        </w:rPr>
      </w:pPr>
      <w:r w:rsidRPr="00240114">
        <w:rPr>
          <w:rFonts w:ascii="David" w:hAnsi="David"/>
          <w:rtl/>
        </w:rPr>
        <w:t xml:space="preserve">בענייננו, התובע הגיש תביעה על סך של </w:t>
      </w:r>
      <w:r w:rsidR="00240114">
        <w:rPr>
          <w:rFonts w:hint="cs" w:ascii="David" w:hAnsi="David"/>
          <w:rtl/>
        </w:rPr>
        <w:t>68,477</w:t>
      </w:r>
      <w:r w:rsidRPr="00240114">
        <w:rPr>
          <w:rFonts w:ascii="David" w:hAnsi="David"/>
          <w:rtl/>
        </w:rPr>
        <w:t xml:space="preserve"> ₪. </w:t>
      </w:r>
      <w:r w:rsidR="00240114">
        <w:rPr>
          <w:rFonts w:hint="cs" w:ascii="David" w:hAnsi="David"/>
          <w:rtl/>
        </w:rPr>
        <w:t>ביום 13.07.2021 התקיים דיון בנוכחות התובע וב"כ הצדדים שבמהלכו לא הגיעו הצדדים להסכמות ונקבע דיון הוכחות. ביום 18.11.2020 הוגש תצהיר עדות ראשית מטעם ה</w:t>
      </w:r>
      <w:r w:rsidR="00F86337">
        <w:rPr>
          <w:rFonts w:hint="cs" w:ascii="David" w:hAnsi="David"/>
          <w:rtl/>
        </w:rPr>
        <w:t>תובע</w:t>
      </w:r>
      <w:r w:rsidR="00240114">
        <w:rPr>
          <w:rFonts w:hint="cs" w:ascii="David" w:hAnsi="David"/>
          <w:rtl/>
        </w:rPr>
        <w:t>. ראיות הצדדים לא נשמעו מחמת ההסדר הדיוני אליו הגיעו כאמור לעיל</w:t>
      </w:r>
      <w:r w:rsidR="003553C5">
        <w:rPr>
          <w:rFonts w:hint="cs" w:ascii="David" w:hAnsi="David"/>
          <w:rtl/>
        </w:rPr>
        <w:t xml:space="preserve"> ולפיו שולם לתובע סך של 21,833 ₪</w:t>
      </w:r>
      <w:r w:rsidR="00240114">
        <w:rPr>
          <w:rFonts w:hint="cs" w:ascii="David" w:hAnsi="David"/>
          <w:rtl/>
        </w:rPr>
        <w:t xml:space="preserve">. </w:t>
      </w:r>
    </w:p>
    <w:p w:rsidR="00EF783C" w:rsidP="003553C5" w:rsidRDefault="003124DA">
      <w:pPr>
        <w:pStyle w:val="ad"/>
        <w:numPr>
          <w:ilvl w:val="0"/>
          <w:numId w:val="1"/>
        </w:numPr>
        <w:spacing w:before="240" w:after="240" w:line="360" w:lineRule="auto"/>
        <w:ind w:left="714" w:hanging="357"/>
        <w:contextualSpacing w:val="0"/>
        <w:jc w:val="both"/>
        <w:rPr>
          <w:rFonts w:ascii="David" w:hAnsi="David"/>
          <w:noProof w:val="0"/>
        </w:rPr>
      </w:pPr>
      <w:r w:rsidRPr="00240114">
        <w:rPr>
          <w:rFonts w:ascii="David" w:hAnsi="David"/>
          <w:rtl/>
        </w:rPr>
        <w:t xml:space="preserve">יש לקחת בחשבון, </w:t>
      </w:r>
      <w:r w:rsidR="003553C5">
        <w:rPr>
          <w:rFonts w:hint="cs" w:ascii="David" w:hAnsi="David"/>
          <w:rtl/>
        </w:rPr>
        <w:t xml:space="preserve">כי </w:t>
      </w:r>
      <w:r w:rsidR="00EF783C">
        <w:rPr>
          <w:rFonts w:hint="cs" w:ascii="David" w:hAnsi="David"/>
          <w:rtl/>
        </w:rPr>
        <w:t>ב"כ הצדדים הגישו סיכומים בכתב לצורך מתן פסק דין זה, וזאת לאחר ששולם הסכום המוסכם לידי התובע</w:t>
      </w:r>
      <w:r w:rsidRPr="00240114">
        <w:rPr>
          <w:rFonts w:ascii="David" w:hAnsi="David"/>
          <w:rtl/>
        </w:rPr>
        <w:t xml:space="preserve">. </w:t>
      </w:r>
      <w:r w:rsidR="00EF783C">
        <w:rPr>
          <w:rFonts w:hint="cs" w:ascii="David" w:hAnsi="David"/>
          <w:rtl/>
        </w:rPr>
        <w:t xml:space="preserve">בהקשר זה, </w:t>
      </w:r>
      <w:r w:rsidRPr="00240114">
        <w:rPr>
          <w:rFonts w:ascii="David" w:hAnsi="David"/>
          <w:rtl/>
        </w:rPr>
        <w:t xml:space="preserve">יש לקחת בחשבון </w:t>
      </w:r>
      <w:r w:rsidR="003553C5">
        <w:rPr>
          <w:rFonts w:hint="cs" w:ascii="David" w:hAnsi="David"/>
          <w:rtl/>
        </w:rPr>
        <w:t xml:space="preserve">גם </w:t>
      </w:r>
      <w:r w:rsidRPr="00240114">
        <w:rPr>
          <w:rFonts w:ascii="David" w:hAnsi="David"/>
          <w:rtl/>
        </w:rPr>
        <w:t>את התנהלות הנתבע</w:t>
      </w:r>
      <w:r w:rsidR="00EF783C">
        <w:rPr>
          <w:rFonts w:hint="cs" w:ascii="David" w:hAnsi="David"/>
          <w:rtl/>
        </w:rPr>
        <w:t>ת</w:t>
      </w:r>
      <w:r w:rsidRPr="00240114">
        <w:rPr>
          <w:rFonts w:ascii="David" w:hAnsi="David"/>
          <w:rtl/>
        </w:rPr>
        <w:t xml:space="preserve"> ב</w:t>
      </w:r>
      <w:r w:rsidR="003553C5">
        <w:rPr>
          <w:rFonts w:hint="cs" w:ascii="David" w:hAnsi="David"/>
          <w:rtl/>
        </w:rPr>
        <w:t>יחס ל</w:t>
      </w:r>
      <w:r w:rsidRPr="00240114">
        <w:rPr>
          <w:rFonts w:ascii="David" w:hAnsi="David"/>
          <w:rtl/>
        </w:rPr>
        <w:t>איחור ב</w:t>
      </w:r>
      <w:r w:rsidR="00EF783C">
        <w:rPr>
          <w:rFonts w:hint="cs" w:ascii="David" w:hAnsi="David"/>
          <w:rtl/>
        </w:rPr>
        <w:t>ביצוע התשלומים לתובע ובמיוחד הרכיב של השרידים. בהקשר זה</w:t>
      </w:r>
      <w:r w:rsidRPr="00240114">
        <w:rPr>
          <w:rFonts w:ascii="David" w:hAnsi="David"/>
          <w:rtl/>
        </w:rPr>
        <w:t xml:space="preserve"> לא אמנע גם מלהעיר, בזהירות הראויה, כי התנהגות</w:t>
      </w:r>
      <w:r w:rsidR="00EF783C">
        <w:rPr>
          <w:rFonts w:hint="cs" w:ascii="David" w:hAnsi="David"/>
          <w:rtl/>
        </w:rPr>
        <w:t>ה</w:t>
      </w:r>
      <w:r w:rsidRPr="00240114">
        <w:rPr>
          <w:rFonts w:ascii="David" w:hAnsi="David"/>
          <w:rtl/>
        </w:rPr>
        <w:t xml:space="preserve"> של הנתבע</w:t>
      </w:r>
      <w:r w:rsidR="00EF783C">
        <w:rPr>
          <w:rFonts w:hint="cs" w:ascii="David" w:hAnsi="David"/>
          <w:rtl/>
        </w:rPr>
        <w:t>ת</w:t>
      </w:r>
      <w:r w:rsidRPr="00240114">
        <w:rPr>
          <w:rFonts w:ascii="David" w:hAnsi="David"/>
          <w:rtl/>
        </w:rPr>
        <w:t xml:space="preserve"> כלפי התובע, גם היא לא חפה מבעיות. </w:t>
      </w:r>
    </w:p>
    <w:p w:rsidR="008B1E6B" w:rsidP="00520B64" w:rsidRDefault="00EF783C">
      <w:pPr>
        <w:pStyle w:val="ad"/>
        <w:numPr>
          <w:ilvl w:val="0"/>
          <w:numId w:val="1"/>
        </w:numPr>
        <w:spacing w:before="240" w:after="240" w:line="360" w:lineRule="auto"/>
        <w:ind w:left="714" w:hanging="357"/>
        <w:contextualSpacing w:val="0"/>
        <w:jc w:val="both"/>
      </w:pPr>
      <w:r w:rsidRPr="008B1E6B">
        <w:rPr>
          <w:rFonts w:hint="cs" w:ascii="David" w:hAnsi="David"/>
          <w:rtl/>
        </w:rPr>
        <w:t>מצד שני</w:t>
      </w:r>
      <w:r w:rsidRPr="008B1E6B" w:rsidR="003124DA">
        <w:rPr>
          <w:rFonts w:ascii="David" w:hAnsi="David"/>
          <w:rtl/>
        </w:rPr>
        <w:t xml:space="preserve"> אציין, כי בניגוד</w:t>
      </w:r>
      <w:r w:rsidRPr="008B1E6B" w:rsidR="008B1E6B">
        <w:rPr>
          <w:rFonts w:hint="cs" w:ascii="David" w:hAnsi="David"/>
          <w:rtl/>
        </w:rPr>
        <w:t xml:space="preserve"> לתקנה 155(א) לתקנות החדשות</w:t>
      </w:r>
      <w:r w:rsidRPr="008B1E6B" w:rsidR="003124DA">
        <w:rPr>
          <w:rFonts w:ascii="David" w:hAnsi="David"/>
          <w:rtl/>
        </w:rPr>
        <w:t>, בחר ה</w:t>
      </w:r>
      <w:r w:rsidRPr="008B1E6B" w:rsidR="008B1E6B">
        <w:rPr>
          <w:rFonts w:hint="cs" w:ascii="David" w:hAnsi="David"/>
          <w:rtl/>
        </w:rPr>
        <w:t>תובע</w:t>
      </w:r>
      <w:r w:rsidRPr="008B1E6B" w:rsidR="003124DA">
        <w:rPr>
          <w:rFonts w:ascii="David" w:hAnsi="David"/>
          <w:rtl/>
        </w:rPr>
        <w:t xml:space="preserve"> שלא לפרט באופן מפורש מה היו הוצאות המשפט להם נדרש ולא צרפו מסמכים התומכים בכך</w:t>
      </w:r>
      <w:r w:rsidRPr="008B1E6B" w:rsidR="008B1E6B">
        <w:rPr>
          <w:rFonts w:hint="cs" w:ascii="David" w:hAnsi="David"/>
          <w:rtl/>
        </w:rPr>
        <w:t>, אלא שעתר לפסיקת סכום ריאולי וגלובאלי בסך 8,000 ₪.</w:t>
      </w:r>
    </w:p>
    <w:p w:rsidR="00B27977" w:rsidP="008B1E6B" w:rsidRDefault="008B1E6B">
      <w:pPr>
        <w:pStyle w:val="ad"/>
        <w:numPr>
          <w:ilvl w:val="0"/>
          <w:numId w:val="1"/>
        </w:numPr>
        <w:spacing w:before="240" w:after="240" w:line="360" w:lineRule="auto"/>
        <w:ind w:left="714" w:hanging="357"/>
        <w:contextualSpacing w:val="0"/>
        <w:jc w:val="both"/>
      </w:pPr>
      <w:r>
        <w:rPr>
          <w:rFonts w:hint="cs"/>
          <w:rtl/>
        </w:rPr>
        <w:t>מאחר ו</w:t>
      </w:r>
      <w:r w:rsidR="00B27977">
        <w:rPr>
          <w:rtl/>
        </w:rPr>
        <w:t xml:space="preserve">שיעור ההוצאות הראוי נקבע תוך בחינת כל מקרה לגופו, </w:t>
      </w:r>
      <w:r>
        <w:rPr>
          <w:rFonts w:hint="cs"/>
          <w:rtl/>
        </w:rPr>
        <w:t>ו</w:t>
      </w:r>
      <w:r w:rsidR="00B27977">
        <w:rPr>
          <w:rtl/>
        </w:rPr>
        <w:t xml:space="preserve">לאחר שבחתני טענות ב"כ הצדדים המלומדים והתחשבתי בנתונים נוספים, ביניהם: אופן ניהול ההליך; היחס בין הסעד שנתבקש והסעד שנתקבל לבין שיעור ההוצאות; מורכבות התיק וחשיבותו; היקף העבודה שהושקעה על ידי בעל הדין בהליך; ושכר הטרחה המבוקש </w:t>
      </w:r>
      <w:r>
        <w:rPr>
          <w:rFonts w:hint="cs"/>
          <w:rtl/>
        </w:rPr>
        <w:t xml:space="preserve">ובשים לב להסכמת הצדדים, אני מחייב את הנתבעת לשלם לתובע שכ"ט בסך כולל של </w:t>
      </w:r>
      <w:r w:rsidRPr="008B1E6B">
        <w:rPr>
          <w:rFonts w:hint="cs"/>
          <w:b/>
          <w:bCs/>
          <w:sz w:val="26"/>
          <w:szCs w:val="26"/>
          <w:rtl/>
        </w:rPr>
        <w:t>4,000 ₪</w:t>
      </w:r>
      <w:r>
        <w:rPr>
          <w:rFonts w:hint="cs"/>
          <w:rtl/>
        </w:rPr>
        <w:t xml:space="preserve">, זאת בנוסף למחצית הראשונה של האגרה בסך </w:t>
      </w:r>
      <w:r w:rsidRPr="008B1E6B">
        <w:rPr>
          <w:rFonts w:hint="cs"/>
          <w:b/>
          <w:bCs/>
          <w:sz w:val="26"/>
          <w:szCs w:val="26"/>
          <w:rtl/>
        </w:rPr>
        <w:t>855 ₪</w:t>
      </w:r>
      <w:r>
        <w:rPr>
          <w:rFonts w:hint="cs"/>
          <w:rtl/>
        </w:rPr>
        <w:t>.</w:t>
      </w:r>
    </w:p>
    <w:p w:rsidR="00786F7B" w:rsidP="00F31950" w:rsidRDefault="008B1E6B">
      <w:pPr>
        <w:pStyle w:val="ad"/>
        <w:numPr>
          <w:ilvl w:val="0"/>
          <w:numId w:val="1"/>
        </w:numPr>
        <w:spacing w:before="240" w:after="240" w:line="360" w:lineRule="auto"/>
        <w:ind w:left="714" w:hanging="357"/>
        <w:contextualSpacing w:val="0"/>
        <w:jc w:val="both"/>
        <w:rPr>
          <w:rFonts w:ascii="David" w:hAnsi="David"/>
        </w:rPr>
      </w:pPr>
      <w:r w:rsidRPr="00F31950">
        <w:rPr>
          <w:rFonts w:ascii="David" w:hAnsi="David"/>
          <w:rtl/>
        </w:rPr>
        <w:t>אשר לשאלת הפרשי ההצמדה והריבית</w:t>
      </w:r>
      <w:r w:rsidRPr="00F31950" w:rsidR="00786F7B">
        <w:rPr>
          <w:rFonts w:ascii="David" w:hAnsi="David"/>
          <w:rtl/>
        </w:rPr>
        <w:t>, יש לציין כי אדם (התובע), שכספו לא שולם או לא הוחזר לו במועד, הופך "מלווה מאונס" (כהגדרתו של מ"מ הנשיא (כתוארו אז) השופט</w:t>
      </w:r>
      <w:r w:rsidRPr="00F31950" w:rsidR="00786F7B">
        <w:rPr>
          <w:rFonts w:ascii="David" w:hAnsi="David"/>
        </w:rPr>
        <w:t xml:space="preserve"> </w:t>
      </w:r>
      <w:r w:rsidRPr="00F31950" w:rsidR="00786F7B">
        <w:rPr>
          <w:rFonts w:ascii="David" w:hAnsi="David"/>
          <w:rtl/>
        </w:rPr>
        <w:t xml:space="preserve">זוסמן ז"ל </w:t>
      </w:r>
      <w:r w:rsidRPr="00F31950" w:rsidR="00F31950">
        <w:rPr>
          <w:rFonts w:ascii="David" w:hAnsi="David"/>
          <w:rtl/>
        </w:rPr>
        <w:t>בע"א 328</w:t>
      </w:r>
      <w:r w:rsidR="00F31950">
        <w:rPr>
          <w:rFonts w:hint="cs" w:ascii="David" w:hAnsi="David"/>
          <w:rtl/>
        </w:rPr>
        <w:t>/</w:t>
      </w:r>
      <w:r w:rsidRPr="00F31950" w:rsidR="00F31950">
        <w:rPr>
          <w:rFonts w:ascii="David" w:hAnsi="David"/>
          <w:rtl/>
        </w:rPr>
        <w:t xml:space="preserve">73 </w:t>
      </w:r>
      <w:r w:rsidRPr="00F31950" w:rsidR="00F31950">
        <w:rPr>
          <w:rFonts w:ascii="David" w:hAnsi="David"/>
          <w:b/>
          <w:bCs/>
          <w:rtl/>
        </w:rPr>
        <w:t>צ'רלס יחזקאל ו-סבורה ויקסלבאום נ' משה ראשי</w:t>
      </w:r>
      <w:r w:rsidRPr="00F31950" w:rsidR="00F31950">
        <w:rPr>
          <w:rFonts w:ascii="David" w:hAnsi="David"/>
          <w:rtl/>
        </w:rPr>
        <w:t>, פ"ד כח(1) 832 (1974))</w:t>
      </w:r>
      <w:r w:rsidRPr="00F31950" w:rsidR="00786F7B">
        <w:rPr>
          <w:rFonts w:ascii="David" w:hAnsi="David"/>
          <w:rtl/>
        </w:rPr>
        <w:t>, ועל כן יש</w:t>
      </w:r>
      <w:r w:rsidR="00F31950">
        <w:rPr>
          <w:rFonts w:hint="cs" w:ascii="David" w:hAnsi="David"/>
          <w:rtl/>
        </w:rPr>
        <w:t xml:space="preserve"> </w:t>
      </w:r>
      <w:r w:rsidRPr="00F31950" w:rsidR="00786F7B">
        <w:rPr>
          <w:rFonts w:ascii="David" w:hAnsi="David"/>
          <w:rtl/>
        </w:rPr>
        <w:t>לשמור על  ערך הכסף עד ליום התשלום.</w:t>
      </w:r>
    </w:p>
    <w:p w:rsidRPr="00F31950" w:rsidR="00F31950" w:rsidP="00F31950" w:rsidRDefault="00F31950">
      <w:pPr>
        <w:pStyle w:val="ad"/>
        <w:spacing w:before="240" w:after="240" w:line="360" w:lineRule="auto"/>
        <w:ind w:left="714"/>
        <w:contextualSpacing w:val="0"/>
        <w:jc w:val="both"/>
        <w:rPr>
          <w:rFonts w:ascii="David" w:hAnsi="David"/>
        </w:rPr>
      </w:pPr>
      <w:bookmarkStart w:name="_GoBack" w:id="1"/>
      <w:bookmarkEnd w:id="1"/>
    </w:p>
    <w:p w:rsidR="00E045D6" w:rsidP="00F31950" w:rsidRDefault="008B1E6B">
      <w:pPr>
        <w:pStyle w:val="ad"/>
        <w:numPr>
          <w:ilvl w:val="0"/>
          <w:numId w:val="1"/>
        </w:numPr>
        <w:spacing w:before="240" w:after="240" w:line="360" w:lineRule="auto"/>
        <w:ind w:left="714" w:hanging="357"/>
        <w:contextualSpacing w:val="0"/>
        <w:jc w:val="both"/>
        <w:rPr>
          <w:rFonts w:hint="cs"/>
        </w:rPr>
      </w:pPr>
      <w:r>
        <w:rPr>
          <w:rFonts w:hint="cs"/>
          <w:rtl/>
        </w:rPr>
        <w:t>לאחר בחינה, עיון ואיזון ובשים לב לכך שחלק מסכום הפשרה התקבל אצל הנתבעת זמן רב לפני הגשת התביעה,</w:t>
      </w:r>
      <w:r w:rsidR="00E045D6">
        <w:rPr>
          <w:rFonts w:hint="cs"/>
          <w:rtl/>
        </w:rPr>
        <w:t xml:space="preserve"> והסכום הנוסף לאחר הגשת התביעה</w:t>
      </w:r>
      <w:r>
        <w:rPr>
          <w:rFonts w:hint="cs"/>
          <w:rtl/>
        </w:rPr>
        <w:t xml:space="preserve"> ועל מנת לשמור על ערך ה</w:t>
      </w:r>
      <w:r w:rsidR="00E045D6">
        <w:rPr>
          <w:rFonts w:hint="cs"/>
          <w:rtl/>
        </w:rPr>
        <w:t>כסף,</w:t>
      </w:r>
      <w:r>
        <w:rPr>
          <w:rFonts w:hint="cs"/>
          <w:rtl/>
        </w:rPr>
        <w:t xml:space="preserve"> </w:t>
      </w:r>
      <w:r w:rsidR="00F31950">
        <w:rPr>
          <w:rFonts w:hint="cs"/>
          <w:rtl/>
        </w:rPr>
        <w:t>מצאתי</w:t>
      </w:r>
      <w:r>
        <w:rPr>
          <w:rFonts w:hint="cs"/>
          <w:rtl/>
        </w:rPr>
        <w:t xml:space="preserve"> מחייב את הנתבעת לשלם לתובע הפרשי הצמדה וריבית כדין על סכום הפשרה בסך 21,833 ₪</w:t>
      </w:r>
      <w:r w:rsidR="00F31950">
        <w:rPr>
          <w:rFonts w:hint="cs"/>
          <w:rtl/>
        </w:rPr>
        <w:t>, וזאת</w:t>
      </w:r>
      <w:r>
        <w:rPr>
          <w:rFonts w:hint="cs"/>
          <w:rtl/>
        </w:rPr>
        <w:t xml:space="preserve"> החל מיום הגשת התביעה ב- </w:t>
      </w:r>
      <w:r w:rsidR="00E045D6">
        <w:rPr>
          <w:rFonts w:hint="cs"/>
          <w:rtl/>
        </w:rPr>
        <w:t>23.09.2019 ועד היום.</w:t>
      </w:r>
    </w:p>
    <w:p w:rsidRPr="003553C5" w:rsidR="003553C5" w:rsidP="00F31950" w:rsidRDefault="00E83A40">
      <w:pPr>
        <w:pStyle w:val="ad"/>
        <w:numPr>
          <w:ilvl w:val="0"/>
          <w:numId w:val="1"/>
        </w:numPr>
        <w:spacing w:before="240" w:after="240" w:line="360" w:lineRule="auto"/>
        <w:ind w:left="714" w:hanging="357"/>
        <w:contextualSpacing w:val="0"/>
        <w:jc w:val="both"/>
      </w:pPr>
      <w:r w:rsidRPr="00E045D6">
        <w:rPr>
          <w:rFonts w:hint="cs" w:ascii="Arial" w:hAnsi="Arial"/>
          <w:noProof w:val="0"/>
          <w:rtl/>
        </w:rPr>
        <w:lastRenderedPageBreak/>
        <w:t xml:space="preserve">הסכומים הנ"ל ישולמו לב"כ התובע עד ליום </w:t>
      </w:r>
      <w:r w:rsidR="00F31950">
        <w:rPr>
          <w:rFonts w:hint="cs" w:ascii="Arial" w:hAnsi="Arial"/>
          <w:b/>
          <w:bCs/>
          <w:noProof w:val="0"/>
          <w:rtl/>
        </w:rPr>
        <w:t>11</w:t>
      </w:r>
      <w:r w:rsidRPr="00F31950">
        <w:rPr>
          <w:rFonts w:hint="cs" w:ascii="Arial" w:hAnsi="Arial"/>
          <w:b/>
          <w:bCs/>
          <w:noProof w:val="0"/>
          <w:rtl/>
        </w:rPr>
        <w:t>.04.2021</w:t>
      </w:r>
      <w:r w:rsidRPr="00E045D6">
        <w:rPr>
          <w:rFonts w:hint="cs" w:ascii="Arial" w:hAnsi="Arial"/>
          <w:noProof w:val="0"/>
          <w:rtl/>
        </w:rPr>
        <w:t xml:space="preserve">, אחרת יישאו הסכומים הפרשי הצמדה וריבית כחוק מהיום ועד התשלום המלא בפועל. </w:t>
      </w:r>
    </w:p>
    <w:p w:rsidRPr="003553C5" w:rsidR="00D46152" w:rsidP="003553C5" w:rsidRDefault="00F31950">
      <w:pPr>
        <w:pStyle w:val="ad"/>
        <w:numPr>
          <w:ilvl w:val="0"/>
          <w:numId w:val="1"/>
        </w:numPr>
        <w:spacing w:before="240" w:after="240" w:line="360" w:lineRule="auto"/>
        <w:ind w:left="714" w:hanging="357"/>
        <w:contextualSpacing w:val="0"/>
        <w:jc w:val="both"/>
      </w:pPr>
      <w:r>
        <w:rPr>
          <w:rFonts w:hint="cs" w:ascii="Arial" w:hAnsi="Arial"/>
          <w:noProof w:val="0"/>
          <w:rtl/>
        </w:rPr>
        <w:t>א</w:t>
      </w:r>
      <w:r w:rsidRPr="003553C5" w:rsidR="00D46152">
        <w:rPr>
          <w:rFonts w:hint="cs" w:ascii="Arial" w:hAnsi="Arial"/>
          <w:noProof w:val="0"/>
          <w:rtl/>
        </w:rPr>
        <w:t xml:space="preserve">ני </w:t>
      </w:r>
      <w:r w:rsidRPr="00F31950" w:rsidR="00D46152">
        <w:rPr>
          <w:rFonts w:hint="cs" w:ascii="Arial" w:hAnsi="Arial"/>
          <w:noProof w:val="0"/>
          <w:u w:val="single"/>
          <w:rtl/>
        </w:rPr>
        <w:t>מבטל</w:t>
      </w:r>
      <w:r w:rsidRPr="003553C5" w:rsidR="00D46152">
        <w:rPr>
          <w:rFonts w:hint="cs" w:ascii="Arial" w:hAnsi="Arial"/>
          <w:noProof w:val="0"/>
          <w:rtl/>
        </w:rPr>
        <w:t xml:space="preserve"> את דיון ההוכחות הקבוע </w:t>
      </w:r>
      <w:r w:rsidRPr="003553C5" w:rsidR="00F33B78">
        <w:rPr>
          <w:rFonts w:hint="cs" w:ascii="Arial" w:hAnsi="Arial"/>
          <w:noProof w:val="0"/>
          <w:rtl/>
        </w:rPr>
        <w:t>בתיק,</w:t>
      </w:r>
      <w:r w:rsidRPr="003553C5" w:rsidR="00D46152">
        <w:rPr>
          <w:rFonts w:hint="cs" w:ascii="Arial" w:hAnsi="Arial"/>
          <w:noProof w:val="0"/>
          <w:rtl/>
        </w:rPr>
        <w:t xml:space="preserve"> ופוטר את התובע מתשלום המחצית השנייה של האגרה</w:t>
      </w:r>
      <w:r w:rsidRPr="003553C5" w:rsidR="0023525B">
        <w:rPr>
          <w:rFonts w:hint="cs" w:ascii="Arial" w:hAnsi="Arial"/>
          <w:noProof w:val="0"/>
          <w:rtl/>
        </w:rPr>
        <w:t>, וככל ששולמה, אני מורה על החזרתה במלואה לב"כ התובע</w:t>
      </w:r>
      <w:r w:rsidRPr="003553C5" w:rsidR="00D46152">
        <w:rPr>
          <w:rFonts w:hint="cs" w:ascii="Arial" w:hAnsi="Arial"/>
          <w:noProof w:val="0"/>
          <w:rtl/>
        </w:rPr>
        <w:t>.</w:t>
      </w:r>
    </w:p>
    <w:p w:rsidRPr="00D46152" w:rsidR="00D46152" w:rsidP="00D46152" w:rsidRDefault="00D46152">
      <w:pPr>
        <w:pStyle w:val="ad"/>
        <w:numPr>
          <w:ilvl w:val="0"/>
          <w:numId w:val="1"/>
        </w:numPr>
        <w:spacing w:line="360" w:lineRule="auto"/>
        <w:jc w:val="both"/>
        <w:rPr>
          <w:rFonts w:ascii="Arial" w:hAnsi="Arial"/>
          <w:noProof w:val="0"/>
          <w:rtl/>
        </w:rPr>
      </w:pPr>
      <w:r w:rsidRPr="00D46152">
        <w:rPr>
          <w:rFonts w:hint="cs" w:ascii="Arial" w:hAnsi="Arial"/>
          <w:b/>
          <w:bCs/>
          <w:noProof w:val="0"/>
          <w:u w:val="single"/>
          <w:rtl/>
        </w:rPr>
        <w:t>המזכירות תמציא פסק הדין לצדדים ותסגור את התיק במערכת</w:t>
      </w:r>
      <w:r w:rsidRPr="00D46152">
        <w:rPr>
          <w:rFonts w:hint="cs" w:ascii="Arial" w:hAnsi="Arial"/>
          <w:noProof w:val="0"/>
          <w:rtl/>
        </w:rPr>
        <w:t>.</w:t>
      </w:r>
    </w:p>
    <w:p w:rsidR="00694556" w:rsidRDefault="00694556">
      <w:pPr>
        <w:spacing w:line="360" w:lineRule="auto"/>
        <w:jc w:val="both"/>
        <w:rPr>
          <w:rFonts w:ascii="Arial" w:hAnsi="Arial"/>
          <w:noProof w:val="0"/>
          <w:rtl/>
        </w:rPr>
      </w:pPr>
    </w:p>
    <w:p w:rsidRPr="00DE1E7D" w:rsidR="003553C5" w:rsidRDefault="003553C5">
      <w:pPr>
        <w:spacing w:line="360" w:lineRule="auto"/>
        <w:jc w:val="both"/>
        <w:rPr>
          <w:rFonts w:ascii="Arial" w:hAnsi="Arial"/>
          <w:noProof w:val="0"/>
          <w:rtl/>
        </w:rPr>
      </w:pPr>
    </w:p>
    <w:p w:rsidR="00694556" w:rsidP="00860102" w:rsidRDefault="0043502B">
      <w:pPr>
        <w:spacing w:line="360" w:lineRule="auto"/>
        <w:jc w:val="both"/>
        <w:rPr>
          <w:rFonts w:ascii="Arial" w:hAnsi="Arial"/>
          <w:noProof w:val="0"/>
          <w:rtl/>
        </w:rPr>
      </w:pPr>
      <w:r>
        <w:rPr>
          <w:rFonts w:ascii="Arial" w:hAnsi="Arial"/>
          <w:noProof w:val="0"/>
          <w:rtl/>
        </w:rPr>
        <w:t>נית</w:t>
      </w:r>
      <w:r w:rsidR="00860102">
        <w:rPr>
          <w:rFonts w:hint="cs" w:ascii="Arial" w:hAnsi="Arial"/>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 אדר תשפ"א</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מרץ 2021</w:t>
          </w:r>
        </w:sdtContent>
      </w:sdt>
      <w:r w:rsidR="00005C8B">
        <w:rPr>
          <w:rFonts w:ascii="Arial" w:hAnsi="Arial"/>
          <w:noProof w:val="0"/>
          <w:rtl/>
        </w:rPr>
        <w:t>, בהעדר הצדדים.</w:t>
      </w:r>
    </w:p>
    <w:p w:rsidR="00F31950" w:rsidP="00860102" w:rsidRDefault="00F31950">
      <w:pPr>
        <w:spacing w:line="360" w:lineRule="auto"/>
        <w:jc w:val="both"/>
        <w:rPr>
          <w:rFonts w:ascii="Arial" w:hAnsi="Arial"/>
          <w:noProof w:val="0"/>
          <w:rtl/>
        </w:rPr>
      </w:pPr>
    </w:p>
    <w:p w:rsidR="00C43648" w:rsidP="00BD6531" w:rsidRDefault="00A66594">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P="00BD6531" w:rsidRDefault="00BD6531">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sdt>
        <w:sdtPr>
          <w:alias w:val="MergeField"/>
          <w:tag w:val="1237"/>
        </w:sdtPr>
        <w:sdtContent>
          <w:p>
            <w:r>
              <w:drawing>
                <wp:inline distT="0" distB="0" distL="0" distR="0" wp14:editId="50D07946">
                  <wp:extent cx="1162050"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a945c3674bb948e4" cstate="print">
                            <a:extLst>
                              <a:ext uri="{28A0092B-C50C-407E-A947-70E740481C1C}"/>
                            </a:extLst>
                          </a:blip>
                          <a:stretch>
                            <a:fillRect/>
                          </a:stretch>
                        </pic:blipFill>
                        <pic:spPr>
                          <a:xfrm>
                            <a:off x="0" y="0"/>
                            <a:ext cx="1162050" cy="990600"/>
                          </a:xfrm>
                          <a:prstGeom prst="rect">
                            <a:avLst/>
                          </a:prstGeom>
                        </pic:spPr>
                      </pic:pic>
                    </a:graphicData>
                  </a:graphic>
                </wp:inline>
              </w:drawing>
            </w:r>
          </w:p>
        </w:sdtContent>
      </w:sdt>
    </w:p>
    <w:sectPr w:rsidR="00694556" w:rsidSect="00891F42">
      <w:headerReference w:type="default" r:id="rId10"/>
      <w:footerReference w:type="default" r:id="rId11"/>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43" w:usb2="00000009" w:usb3="00000000" w:csb0="000001FF" w:csb1="00000000"/>
  </w:font>
  <w:font w:name="Arimo">
    <w:altName w:val="Times New Roman"/>
    <w:charset w:val="00"/>
    <w:family w:val="auto"/>
    <w:pitch w:val="default"/>
  </w:font>
  <w:font w:name="Arial TUR">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4E6E3C" w:rsidR="00694556" w:rsidRDefault="000C3B60">
    <w:pPr>
      <w:pStyle w:val="a4"/>
      <w:jc w:val="center"/>
      <w:rPr>
        <w:rStyle w:val="ab"/>
      </w:rPr>
    </w:pPr>
    <w:r w:rsidRPr="004E6E3C">
      <w:rPr>
        <w:rStyle w:val="ab"/>
        <w:rFonts w:cs="Times New Roman"/>
      </w:rPr>
      <w:fldChar w:fldCharType="begin"/>
    </w:r>
    <w:r w:rsidRPr="004E6E3C" w:rsidR="00005C8B">
      <w:rPr>
        <w:rStyle w:val="ab"/>
        <w:rFonts w:cs="Times New Roman"/>
      </w:rPr>
      <w:instrText xml:space="preserve"> PAGE </w:instrText>
    </w:r>
    <w:r w:rsidRPr="004E6E3C">
      <w:rPr>
        <w:rStyle w:val="ab"/>
        <w:rFonts w:cs="Times New Roman"/>
      </w:rPr>
      <w:fldChar w:fldCharType="separate"/>
    </w:r>
    <w:r w:rsidR="00A66594">
      <w:rPr>
        <w:rStyle w:val="ab"/>
        <w:rFonts w:cs="Times New Roman"/>
        <w:rtl/>
      </w:rPr>
      <w:t>4</w:t>
    </w:r>
    <w:r w:rsidRPr="004E6E3C">
      <w:rPr>
        <w:rStyle w:val="ab"/>
        <w:rFonts w:cs="Times New Roman"/>
      </w:rPr>
      <w:fldChar w:fldCharType="end"/>
    </w:r>
    <w:r w:rsidRPr="004E6E3C" w:rsidR="00005C8B">
      <w:rPr>
        <w:rStyle w:val="ab"/>
        <w:rFonts w:hint="cs"/>
        <w:rtl/>
      </w:rPr>
      <w:t xml:space="preserve"> מתוך </w:t>
    </w:r>
    <w:r w:rsidRPr="004E6E3C">
      <w:rPr>
        <w:rStyle w:val="ab"/>
      </w:rPr>
      <w:fldChar w:fldCharType="begin"/>
    </w:r>
    <w:r w:rsidRPr="004E6E3C" w:rsidR="00005C8B">
      <w:rPr>
        <w:rStyle w:val="ab"/>
      </w:rPr>
      <w:instrText xml:space="preserve"> NUMPAGES </w:instrText>
    </w:r>
    <w:r w:rsidRPr="004E6E3C">
      <w:rPr>
        <w:rStyle w:val="ab"/>
      </w:rPr>
      <w:fldChar w:fldCharType="separate"/>
    </w:r>
    <w:r w:rsidR="00A66594">
      <w:rPr>
        <w:rStyle w:val="ab"/>
        <w:rtl/>
      </w:rPr>
      <w:t>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A66594">
    <w:pPr>
      <w:pStyle w:val="a3"/>
      <w:jc w:val="center"/>
      <w:rPr>
        <w:rFonts w:cs="FrankRuehl"/>
        <w:noProof w:val="0"/>
        <w:sz w:val="28"/>
        <w:szCs w:val="28"/>
        <w:rtl/>
      </w:rPr>
    </w:pPr>
    <w:r>
      <w:rPr>
        <w:rFonts w:cs="FrankRuehl"/>
        <w:sz w:val="28"/>
        <w:szCs w:val="28"/>
        <w:rtl/>
      </w:rPr>
    </w:r>
    <w:r w:rsidR="00DC1259">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8"/>
    </w:tblGrid>
    <w:tr w:rsidR="00694556" w:rsidTr="00686C21">
      <w:trPr>
        <w:trHeight w:val="704" w:hRule="exact"/>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Pr="00F038D8" w:rsidR="00694556" w:rsidP="003230C7" w:rsidRDefault="003D1C8C">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בעכו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P="007D45E3" w:rsidRDefault="00A66594">
          <w:pPr>
            <w:rPr>
              <w:b/>
              <w:bCs/>
              <w:noProof w:val="0"/>
              <w:sz w:val="26"/>
              <w:szCs w:val="26"/>
              <w:rtl/>
            </w:rPr>
          </w:pPr>
          <w:sdt>
            <w:sdtPr>
              <w:rPr>
                <w:rtl/>
              </w:rPr>
              <w:alias w:val="1170"/>
              <w:tag w:val="1170"/>
              <w:id w:val="1066377040"/>
              <w:text w:multiLine="1"/>
            </w:sdtPr>
            <w:sdtEndPr/>
            <w:sdtContent>
              <w:r w:rsidR="009E461A">
                <w:rPr>
                  <w:b/>
                  <w:bCs/>
                  <w:noProof w:val="0"/>
                  <w:sz w:val="26"/>
                  <w:szCs w:val="26"/>
                  <w:rtl/>
                </w:rPr>
                <w:t>תא"מ</w:t>
              </w:r>
            </w:sdtContent>
          </w:sdt>
          <w:r w:rsidR="00005C8B">
            <w:rPr>
              <w:b/>
              <w:bCs/>
              <w:noProof w:val="0"/>
              <w:sz w:val="26"/>
              <w:szCs w:val="26"/>
              <w:rtl/>
            </w:rPr>
            <w:t xml:space="preserve"> </w:t>
          </w:r>
          <w:sdt>
            <w:sdtPr>
              <w:rPr>
                <w:rtl/>
              </w:rPr>
              <w:alias w:val="1171"/>
              <w:tag w:val="1171"/>
              <w:id w:val="257034231"/>
              <w:text w:multiLine="1"/>
            </w:sdtPr>
            <w:sdtEndPr/>
            <w:sdtContent>
              <w:r w:rsidR="009E461A">
                <w:rPr>
                  <w:b/>
                  <w:bCs/>
                  <w:noProof w:val="0"/>
                  <w:sz w:val="26"/>
                  <w:szCs w:val="26"/>
                  <w:rtl/>
                </w:rPr>
                <w:t>53957-09-19</w:t>
              </w:r>
            </w:sdtContent>
          </w:sdt>
          <w:r w:rsidR="00005C8B">
            <w:rPr>
              <w:b/>
              <w:bCs/>
              <w:noProof w:val="0"/>
              <w:sz w:val="26"/>
              <w:szCs w:val="26"/>
              <w:rtl/>
            </w:rPr>
            <w:t xml:space="preserve"> </w:t>
          </w:r>
          <w:sdt>
            <w:sdtPr>
              <w:rPr>
                <w:rtl/>
              </w:rPr>
              <w:alias w:val="1172"/>
              <w:tag w:val="1172"/>
              <w:id w:val="-595170033"/>
              <w:text w:multiLine="1"/>
            </w:sdtPr>
            <w:sdtEndPr/>
            <w:sdtContent>
              <w:r w:rsidR="009E461A">
                <w:rPr>
                  <w:b/>
                  <w:bCs/>
                  <w:noProof w:val="0"/>
                  <w:sz w:val="26"/>
                  <w:szCs w:val="26"/>
                  <w:rtl/>
                </w:rPr>
                <w:t>גמאמסי נ' אגד ליסינג שירותי ליסינג למוניות בע"מ</w:t>
              </w:r>
            </w:sdtContent>
          </w:sdt>
        </w:p>
        <w:p w:rsidRPr="007B7765" w:rsidR="007D45E3" w:rsidP="007D45E3" w:rsidRDefault="007D45E3">
          <w:pPr>
            <w:rPr>
              <w:b/>
              <w:bCs/>
              <w:noProof w:val="0"/>
              <w:sz w:val="2"/>
              <w:szCs w:val="2"/>
              <w:rtl/>
            </w:rPr>
          </w:pPr>
        </w:p>
        <w:p w:rsidR="007D45E3" w:rsidP="007D45E3" w:rsidRDefault="007D45E3">
          <w:pPr>
            <w:rPr>
              <w:sz w:val="20"/>
              <w:szCs w:val="20"/>
              <w:rtl/>
            </w:rPr>
          </w:pPr>
          <w:r>
            <w:rPr>
              <w:rFonts w:hint="cs"/>
              <w:rtl/>
            </w:rPr>
            <w:t xml:space="preserve">                           </w:t>
          </w:r>
          <w:r>
            <w:rPr>
              <w:rFonts w:hint="cs"/>
              <w:sz w:val="20"/>
              <w:szCs w:val="20"/>
              <w:rtl/>
            </w:rPr>
            <w:t xml:space="preserve">                                       </w:t>
          </w:r>
        </w:p>
        <w:p w:rsidRPr="00E1068A" w:rsidR="008D10B2" w:rsidP="007D45E3" w:rsidRDefault="008D10B2">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Pr="00E1068A" w:rsidR="007D45E3">
            <w:rPr>
              <w:rFonts w:hint="cs"/>
              <w:sz w:val="20"/>
              <w:szCs w:val="20"/>
              <w:rtl/>
            </w:rPr>
            <w:t xml:space="preserve"> </w:t>
          </w:r>
          <w:r w:rsidRPr="00E1068A" w:rsidR="007D45E3">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B2C4B5E4"/>
    <w:lvl w:ilvl="0" w:tplc="92AC69B8">
      <w:start w:val="1"/>
      <w:numFmt w:val="decimal"/>
      <w:lvlText w:val="%1."/>
      <w:lvlJc w:val="left"/>
      <w:pPr>
        <w:tabs>
          <w:tab w:val="num" w:pos="907"/>
        </w:tabs>
        <w:ind w:left="0" w:firstLine="0"/>
      </w:pPr>
    </w:lvl>
    <w:lvl w:ilvl="1" w:tplc="51F0D0AA">
      <w:start w:val="1"/>
      <w:numFmt w:val="lowerLetter"/>
      <w:lvlText w:val="%2."/>
      <w:lvlJc w:val="left"/>
      <w:pPr>
        <w:tabs>
          <w:tab w:val="num" w:pos="1440"/>
        </w:tabs>
        <w:ind w:left="1440" w:hanging="360"/>
      </w:pPr>
    </w:lvl>
    <w:lvl w:ilvl="2" w:tplc="B2F87172">
      <w:start w:val="1"/>
      <w:numFmt w:val="lowerRoman"/>
      <w:lvlText w:val="%3."/>
      <w:lvlJc w:val="right"/>
      <w:pPr>
        <w:tabs>
          <w:tab w:val="num" w:pos="2160"/>
        </w:tabs>
        <w:ind w:left="2160" w:hanging="180"/>
      </w:pPr>
    </w:lvl>
    <w:lvl w:ilvl="3" w:tplc="C016B760">
      <w:start w:val="1"/>
      <w:numFmt w:val="decimal"/>
      <w:lvlText w:val="%4."/>
      <w:lvlJc w:val="left"/>
      <w:pPr>
        <w:tabs>
          <w:tab w:val="num" w:pos="2880"/>
        </w:tabs>
        <w:ind w:left="2880" w:hanging="360"/>
      </w:pPr>
    </w:lvl>
    <w:lvl w:ilvl="4" w:tplc="66CC180A">
      <w:start w:val="1"/>
      <w:numFmt w:val="lowerLetter"/>
      <w:lvlText w:val="%5."/>
      <w:lvlJc w:val="left"/>
      <w:pPr>
        <w:tabs>
          <w:tab w:val="num" w:pos="3600"/>
        </w:tabs>
        <w:ind w:left="3600" w:hanging="360"/>
      </w:pPr>
    </w:lvl>
    <w:lvl w:ilvl="5" w:tplc="7F6CF9BE">
      <w:start w:val="1"/>
      <w:numFmt w:val="lowerRoman"/>
      <w:lvlText w:val="%6."/>
      <w:lvlJc w:val="right"/>
      <w:pPr>
        <w:tabs>
          <w:tab w:val="num" w:pos="4320"/>
        </w:tabs>
        <w:ind w:left="4320" w:hanging="180"/>
      </w:pPr>
    </w:lvl>
    <w:lvl w:ilvl="6" w:tplc="99C0C426">
      <w:start w:val="1"/>
      <w:numFmt w:val="decimal"/>
      <w:lvlText w:val="%7."/>
      <w:lvlJc w:val="left"/>
      <w:pPr>
        <w:tabs>
          <w:tab w:val="num" w:pos="5040"/>
        </w:tabs>
        <w:ind w:left="5040" w:hanging="360"/>
      </w:pPr>
    </w:lvl>
    <w:lvl w:ilvl="7" w:tplc="A2087980">
      <w:start w:val="1"/>
      <w:numFmt w:val="lowerLetter"/>
      <w:lvlText w:val="%8."/>
      <w:lvlJc w:val="left"/>
      <w:pPr>
        <w:tabs>
          <w:tab w:val="num" w:pos="5760"/>
        </w:tabs>
        <w:ind w:left="5760" w:hanging="360"/>
      </w:pPr>
    </w:lvl>
    <w:lvl w:ilvl="8" w:tplc="AFDAEF70">
      <w:start w:val="1"/>
      <w:numFmt w:val="lowerRoman"/>
      <w:lvlText w:val="%9."/>
      <w:lvlJc w:val="right"/>
      <w:pPr>
        <w:tabs>
          <w:tab w:val="num" w:pos="6480"/>
        </w:tabs>
        <w:ind w:left="6480" w:hanging="180"/>
      </w:pPr>
    </w:lvl>
  </w:abstractNum>
  <w:abstractNum w:abstractNumId="1" w15:restartNumberingAfterBreak="0">
    <w:nsid w:val="09F77C54"/>
    <w:multiLevelType w:val="hybridMultilevel"/>
    <w:tmpl w:val="54860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99309B"/>
    <w:multiLevelType w:val="hybridMultilevel"/>
    <w:tmpl w:val="2452E098"/>
    <w:lvl w:ilvl="0" w:tplc="F578848A">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18F32A0"/>
    <w:multiLevelType w:val="hybridMultilevel"/>
    <w:tmpl w:val="06D8C90C"/>
    <w:lvl w:ilvl="0" w:tplc="69B49212">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197634"/>
    <o:shapelayout v:ext="edit">
      <o:idmap v:ext="edit" data="19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0A63"/>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387D"/>
    <w:rsid w:val="0011424C"/>
    <w:rsid w:val="001173C6"/>
    <w:rsid w:val="001367BC"/>
    <w:rsid w:val="00140ADD"/>
    <w:rsid w:val="00144D2A"/>
    <w:rsid w:val="0014653E"/>
    <w:rsid w:val="00180519"/>
    <w:rsid w:val="00191C82"/>
    <w:rsid w:val="001C4003"/>
    <w:rsid w:val="001D4DBF"/>
    <w:rsid w:val="001E75CA"/>
    <w:rsid w:val="002265FF"/>
    <w:rsid w:val="00232AFF"/>
    <w:rsid w:val="0023525B"/>
    <w:rsid w:val="00240114"/>
    <w:rsid w:val="00271B56"/>
    <w:rsid w:val="002C344E"/>
    <w:rsid w:val="002E75E9"/>
    <w:rsid w:val="002F0B1E"/>
    <w:rsid w:val="00307A6A"/>
    <w:rsid w:val="00307C40"/>
    <w:rsid w:val="003124DA"/>
    <w:rsid w:val="00320433"/>
    <w:rsid w:val="003230C7"/>
    <w:rsid w:val="00327E50"/>
    <w:rsid w:val="00333B79"/>
    <w:rsid w:val="0033597A"/>
    <w:rsid w:val="00343D89"/>
    <w:rsid w:val="003553C5"/>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44F"/>
    <w:rsid w:val="004E1987"/>
    <w:rsid w:val="004E2E15"/>
    <w:rsid w:val="004E400B"/>
    <w:rsid w:val="004E6E3C"/>
    <w:rsid w:val="00507067"/>
    <w:rsid w:val="00520898"/>
    <w:rsid w:val="00523621"/>
    <w:rsid w:val="00524986"/>
    <w:rsid w:val="005268F6"/>
    <w:rsid w:val="00534284"/>
    <w:rsid w:val="00534B6D"/>
    <w:rsid w:val="00547DB7"/>
    <w:rsid w:val="005644F4"/>
    <w:rsid w:val="005F4F09"/>
    <w:rsid w:val="00603F73"/>
    <w:rsid w:val="0061431B"/>
    <w:rsid w:val="00622BAA"/>
    <w:rsid w:val="0062615A"/>
    <w:rsid w:val="006306CF"/>
    <w:rsid w:val="00644E9A"/>
    <w:rsid w:val="00671BD5"/>
    <w:rsid w:val="00675430"/>
    <w:rsid w:val="006805C1"/>
    <w:rsid w:val="00686C21"/>
    <w:rsid w:val="006931C1"/>
    <w:rsid w:val="00694556"/>
    <w:rsid w:val="006C30C5"/>
    <w:rsid w:val="006D3B31"/>
    <w:rsid w:val="006E0D96"/>
    <w:rsid w:val="006E1A53"/>
    <w:rsid w:val="006E64D1"/>
    <w:rsid w:val="006F56E6"/>
    <w:rsid w:val="0070372D"/>
    <w:rsid w:val="00704EDA"/>
    <w:rsid w:val="00721122"/>
    <w:rsid w:val="00734689"/>
    <w:rsid w:val="00753019"/>
    <w:rsid w:val="00754801"/>
    <w:rsid w:val="00761441"/>
    <w:rsid w:val="00786F7B"/>
    <w:rsid w:val="00795365"/>
    <w:rsid w:val="007A351D"/>
    <w:rsid w:val="007B7765"/>
    <w:rsid w:val="007C5BDD"/>
    <w:rsid w:val="007D45E3"/>
    <w:rsid w:val="007E28B5"/>
    <w:rsid w:val="007E6115"/>
    <w:rsid w:val="007F4609"/>
    <w:rsid w:val="00814468"/>
    <w:rsid w:val="008176A1"/>
    <w:rsid w:val="00820005"/>
    <w:rsid w:val="00844318"/>
    <w:rsid w:val="00860102"/>
    <w:rsid w:val="00863F5D"/>
    <w:rsid w:val="00870890"/>
    <w:rsid w:val="00873602"/>
    <w:rsid w:val="00875D12"/>
    <w:rsid w:val="0088479D"/>
    <w:rsid w:val="00891F42"/>
    <w:rsid w:val="00896889"/>
    <w:rsid w:val="008A6E97"/>
    <w:rsid w:val="008B1E6B"/>
    <w:rsid w:val="008C5714"/>
    <w:rsid w:val="008D10B2"/>
    <w:rsid w:val="00903896"/>
    <w:rsid w:val="00906F3D"/>
    <w:rsid w:val="0094424E"/>
    <w:rsid w:val="00955642"/>
    <w:rsid w:val="009622DF"/>
    <w:rsid w:val="0096493F"/>
    <w:rsid w:val="00967DFF"/>
    <w:rsid w:val="00980F19"/>
    <w:rsid w:val="00991D0B"/>
    <w:rsid w:val="00994341"/>
    <w:rsid w:val="009D1A48"/>
    <w:rsid w:val="009E1CE7"/>
    <w:rsid w:val="009E461A"/>
    <w:rsid w:val="009E4EA5"/>
    <w:rsid w:val="009F164B"/>
    <w:rsid w:val="009F323C"/>
    <w:rsid w:val="00A3392B"/>
    <w:rsid w:val="00A66594"/>
    <w:rsid w:val="00A85E34"/>
    <w:rsid w:val="00A9144F"/>
    <w:rsid w:val="00A94B64"/>
    <w:rsid w:val="00AA3229"/>
    <w:rsid w:val="00AA7596"/>
    <w:rsid w:val="00AB5E52"/>
    <w:rsid w:val="00AC3B02"/>
    <w:rsid w:val="00AC3B7B"/>
    <w:rsid w:val="00AC5209"/>
    <w:rsid w:val="00AE0E34"/>
    <w:rsid w:val="00AE729E"/>
    <w:rsid w:val="00AE7752"/>
    <w:rsid w:val="00AF7FDA"/>
    <w:rsid w:val="00B27977"/>
    <w:rsid w:val="00B5356E"/>
    <w:rsid w:val="00B809AD"/>
    <w:rsid w:val="00B80CBD"/>
    <w:rsid w:val="00B86096"/>
    <w:rsid w:val="00B964D9"/>
    <w:rsid w:val="00BA0A7C"/>
    <w:rsid w:val="00BA517C"/>
    <w:rsid w:val="00BB3D05"/>
    <w:rsid w:val="00BB53D3"/>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0207"/>
    <w:rsid w:val="00CF6BB7"/>
    <w:rsid w:val="00D04AA4"/>
    <w:rsid w:val="00D27982"/>
    <w:rsid w:val="00D33B86"/>
    <w:rsid w:val="00D44968"/>
    <w:rsid w:val="00D46152"/>
    <w:rsid w:val="00D53811"/>
    <w:rsid w:val="00D53924"/>
    <w:rsid w:val="00D55D0C"/>
    <w:rsid w:val="00D92A82"/>
    <w:rsid w:val="00D96D8C"/>
    <w:rsid w:val="00DA10C6"/>
    <w:rsid w:val="00DA6649"/>
    <w:rsid w:val="00DC1259"/>
    <w:rsid w:val="00DC1BD2"/>
    <w:rsid w:val="00DC2571"/>
    <w:rsid w:val="00DC487C"/>
    <w:rsid w:val="00DD4335"/>
    <w:rsid w:val="00DE1E7D"/>
    <w:rsid w:val="00DE6BF6"/>
    <w:rsid w:val="00DF43BA"/>
    <w:rsid w:val="00E00709"/>
    <w:rsid w:val="00E045D6"/>
    <w:rsid w:val="00E1068A"/>
    <w:rsid w:val="00E25884"/>
    <w:rsid w:val="00E25B55"/>
    <w:rsid w:val="00E31C2B"/>
    <w:rsid w:val="00E5426A"/>
    <w:rsid w:val="00E54642"/>
    <w:rsid w:val="00E80CBE"/>
    <w:rsid w:val="00E83A40"/>
    <w:rsid w:val="00E9269D"/>
    <w:rsid w:val="00E962E3"/>
    <w:rsid w:val="00EB6C79"/>
    <w:rsid w:val="00EC37E9"/>
    <w:rsid w:val="00EC4860"/>
    <w:rsid w:val="00EF4EA7"/>
    <w:rsid w:val="00EF783C"/>
    <w:rsid w:val="00F038D8"/>
    <w:rsid w:val="00F06995"/>
    <w:rsid w:val="00F12D66"/>
    <w:rsid w:val="00F13623"/>
    <w:rsid w:val="00F22AA3"/>
    <w:rsid w:val="00F31950"/>
    <w:rsid w:val="00F33B78"/>
    <w:rsid w:val="00F44D1D"/>
    <w:rsid w:val="00F84B6D"/>
    <w:rsid w:val="00F86337"/>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97634"/>
    <o:shapelayout v:ext="edit">
      <o:idmap v:ext="edit" data="1"/>
    </o:shapelayout>
  </w:shapeDefaults>
  <w:decimalSymbol w:val="."/>
  <w:listSeparator w:val=","/>
  <w14:docId w14:val="5855E41E"/>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D46152"/>
    <w:pPr>
      <w:ind w:left="720"/>
      <w:contextualSpacing/>
    </w:pPr>
  </w:style>
  <w:style w:type="character" w:styleId="Hyperlink">
    <w:name w:val="Hyperlink"/>
    <w:uiPriority w:val="99"/>
    <w:semiHidden/>
    <w:unhideWhenUsed/>
    <w:rsid w:val="00DF43BA"/>
    <w:rPr>
      <w:color w:val="0563C1"/>
      <w:u w:val="single"/>
    </w:rPr>
  </w:style>
  <w:style w:type="paragraph" w:customStyle="1" w:styleId="10">
    <w:name w:val="פיסקת רשימה1"/>
    <w:basedOn w:val="a"/>
    <w:uiPriority w:val="34"/>
    <w:qFormat/>
    <w:rsid w:val="00B27977"/>
    <w:pPr>
      <w:overflowPunct w:val="0"/>
      <w:autoSpaceDE w:val="0"/>
      <w:autoSpaceDN w:val="0"/>
      <w:adjustRightInd w:val="0"/>
      <w:spacing w:line="360" w:lineRule="auto"/>
      <w:ind w:left="720"/>
    </w:pPr>
    <w:rPr>
      <w:rFonts w:ascii="Century" w:hAnsi="Century" w:cs="FrankRuehl"/>
      <w:noProof w:val="0"/>
      <w:spacing w:val="10"/>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5999577">
      <w:bodyDiv w:val="1"/>
      <w:marLeft w:val="0"/>
      <w:marRight w:val="0"/>
      <w:marTop w:val="0"/>
      <w:marBottom w:val="0"/>
      <w:divBdr>
        <w:top w:val="none" w:sz="0" w:space="0" w:color="auto"/>
        <w:left w:val="none" w:sz="0" w:space="0" w:color="auto"/>
        <w:bottom w:val="none" w:sz="0" w:space="0" w:color="auto"/>
        <w:right w:val="none" w:sz="0" w:space="0" w:color="auto"/>
      </w:divBdr>
    </w:div>
    <w:div w:id="105690000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3116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glossaryDocument" Target="glossary/document.xml" Id="rId13" /><Relationship Type="http://schemas.openxmlformats.org/officeDocument/2006/relationships/webSettings" Target="webSettings.xml" Id="rId7" /><Relationship Type="http://schemas.openxmlformats.org/officeDocument/2006/relationships/fontTable" Target="fontTable.xml" Id="rId12" /><Relationship Type="http://schemas.microsoft.com/office/2006/relationships/keyMapCustomizations" Target="customizations.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 Type="http://schemas.openxmlformats.org/officeDocument/2006/relationships/image" Target="/media/image2.jpg" Id="Ra945c3674bb948e4" /></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904349" w:rsidP="00904349">
          <w:pPr>
            <w:pStyle w:val="E460D38E05664FF79D4EFF282EF8EC9920"/>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F00DF8" w:rsidP="00F00DF8">
          <w:pPr>
            <w:pStyle w:val="D290653DA13E4E738B7E725F79D7332912"/>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43" w:usb2="00000009" w:usb3="00000000" w:csb0="000001FF" w:csb1="00000000"/>
  </w:font>
  <w:font w:name="Arimo">
    <w:altName w:val="Times New Roman"/>
    <w:charset w:val="00"/>
    <w:family w:val="auto"/>
    <w:pitch w:val="default"/>
  </w:font>
  <w:font w:name="Arial TUR">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8651F"/>
    <w:rsid w:val="005157ED"/>
    <w:rsid w:val="00556D67"/>
    <w:rsid w:val="00793995"/>
    <w:rsid w:val="007C6F98"/>
    <w:rsid w:val="007E254A"/>
    <w:rsid w:val="008B4366"/>
    <w:rsid w:val="00904349"/>
    <w:rsid w:val="009133C7"/>
    <w:rsid w:val="009178E4"/>
    <w:rsid w:val="00961B27"/>
    <w:rsid w:val="00AA7CE3"/>
    <w:rsid w:val="00B50DB2"/>
    <w:rsid w:val="00B91FA3"/>
    <w:rsid w:val="00BE6557"/>
    <w:rsid w:val="00C96C06"/>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04349"/>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043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302</TotalTime>
  <Pages>5</Pages>
  <Words>1261</Words>
  <Characters>6305</Characters>
  <Application>Microsoft Office Word</Application>
  <DocSecurity>0</DocSecurity>
  <Lines>52</Lines>
  <Paragraphs>15</Paragraphs>
  <ScaleCrop>false</ScaleCrop>
  <Company>Microsoft Corporation</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Court</cp:lastModifiedBy>
  <cp:revision>171</cp:revision>
  <cp:lastPrinted>2021-03-04T20:10:00Z</cp:lastPrinted>
  <dcterms:created xsi:type="dcterms:W3CDTF">2012-08-06T05:16:00Z</dcterms:created>
  <dcterms:modified xsi:type="dcterms:W3CDTF">2021-03-04T20:29:00Z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