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pic="http://schemas.openxmlformats.org/drawingml/2006/pictur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930" w:type="dxa"/>
        <w:tblInd w:w="-6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
      <w:tblGrid>
        <w:gridCol w:w="871"/>
        <w:gridCol w:w="6211"/>
        <w:gridCol w:w="1848"/>
      </w:tblGrid>
      <w:tr w:rsidRPr="00661A5D" w:rsidR="007A5975" w:rsidTr="007A2E29">
        <w:trPr>
          <w:trHeight w:val="363"/>
        </w:trPr>
        <w:tc>
          <w:tcPr>
            <w:tcW w:w="871" w:type="dxa"/>
            <w:vAlign w:val="bottom"/>
          </w:tcPr>
          <w:p w:rsidRPr="00A7761F" w:rsidR="007A5975" w:rsidP="007A2E29" w:rsidRDefault="007A5975">
            <w:pPr>
              <w:rPr>
                <w:sz w:val="26"/>
                <w:szCs w:val="26"/>
                <w:rtl/>
              </w:rPr>
            </w:pPr>
            <w:r w:rsidRPr="00A7761F">
              <w:rPr>
                <w:rFonts w:hint="cs"/>
                <w:sz w:val="26"/>
                <w:szCs w:val="26"/>
                <w:rtl/>
              </w:rPr>
              <w:t>בעניין:</w:t>
            </w:r>
          </w:p>
        </w:tc>
        <w:tc>
          <w:tcPr>
            <w:tcW w:w="8059" w:type="dxa"/>
            <w:gridSpan w:val="2"/>
            <w:vAlign w:val="bottom"/>
          </w:tcPr>
          <w:p w:rsidRPr="004F3D50" w:rsidR="007A5975" w:rsidP="007A5975" w:rsidRDefault="004F3D50">
            <w:pPr>
              <w:rPr>
                <w:b/>
                <w:bCs/>
                <w:noProof w:val="0"/>
                <w:sz w:val="26"/>
                <w:szCs w:val="26"/>
              </w:rPr>
            </w:pPr>
            <w:r w:rsidRPr="004F3D50">
              <w:rPr>
                <w:rFonts w:hint="cs"/>
                <w:b/>
                <w:bCs/>
                <w:sz w:val="26"/>
                <w:szCs w:val="26"/>
                <w:rtl/>
              </w:rPr>
              <w:t>פלוני</w:t>
            </w:r>
          </w:p>
        </w:tc>
      </w:tr>
      <w:tr w:rsidRPr="00661A5D" w:rsidR="00CC1B23" w:rsidTr="007A5975">
        <w:trPr>
          <w:trHeight w:val="777"/>
        </w:trPr>
        <w:tc>
          <w:tcPr>
            <w:tcW w:w="871" w:type="dxa"/>
          </w:tcPr>
          <w:p w:rsidR="00CC1B23" w:rsidP="00CC1B23" w:rsidRDefault="00CC1B23">
            <w:pPr>
              <w:rPr>
                <w:rFonts w:ascii="Arial" w:hAnsi="Arial"/>
                <w:noProof w:val="0"/>
                <w:sz w:val="26"/>
                <w:szCs w:val="26"/>
                <w:rtl/>
              </w:rPr>
            </w:pPr>
          </w:p>
        </w:tc>
        <w:tc>
          <w:tcPr>
            <w:tcW w:w="6211" w:type="dxa"/>
          </w:tcPr>
          <w:p w:rsidRPr="00661A5D" w:rsidR="00CC1B23" w:rsidP="00990B38" w:rsidRDefault="00CC1B23">
            <w:pPr>
              <w:rPr>
                <w:sz w:val="26"/>
                <w:szCs w:val="26"/>
                <w:rtl/>
              </w:rPr>
            </w:pPr>
            <w:r>
              <w:rPr>
                <w:rFonts w:hint="cs" w:ascii="Arial" w:hAnsi="Arial"/>
                <w:noProof w:val="0"/>
                <w:sz w:val="26"/>
                <w:szCs w:val="26"/>
                <w:rtl/>
              </w:rPr>
              <w:t xml:space="preserve">ע"י </w:t>
            </w:r>
            <w:r w:rsidR="00990B38">
              <w:rPr>
                <w:rFonts w:hint="cs" w:ascii="Arial" w:hAnsi="Arial"/>
                <w:noProof w:val="0"/>
                <w:sz w:val="26"/>
                <w:szCs w:val="26"/>
                <w:rtl/>
              </w:rPr>
              <w:t>עו</w:t>
            </w:r>
            <w:r>
              <w:rPr>
                <w:rFonts w:hint="cs" w:ascii="Arial" w:hAnsi="Arial"/>
                <w:noProof w:val="0"/>
                <w:sz w:val="26"/>
                <w:szCs w:val="26"/>
                <w:rtl/>
              </w:rPr>
              <w:t>"ד</w:t>
            </w:r>
            <w:r w:rsidR="009F5713">
              <w:rPr>
                <w:rFonts w:hint="cs"/>
                <w:sz w:val="26"/>
                <w:szCs w:val="26"/>
                <w:rtl/>
              </w:rPr>
              <w:t xml:space="preserve"> עמוס גבעון</w:t>
            </w:r>
          </w:p>
        </w:tc>
        <w:tc>
          <w:tcPr>
            <w:tcW w:w="1848" w:type="dxa"/>
          </w:tcPr>
          <w:p w:rsidRPr="00CC1B23" w:rsidR="00CC1B23" w:rsidP="00CC1B23" w:rsidRDefault="009F5713">
            <w:pPr>
              <w:rPr>
                <w:rFonts w:ascii="Arial" w:hAnsi="Arial"/>
                <w:b/>
                <w:bCs/>
                <w:noProof w:val="0"/>
                <w:sz w:val="26"/>
                <w:szCs w:val="26"/>
                <w:u w:val="single"/>
                <w:rtl/>
              </w:rPr>
            </w:pPr>
            <w:r>
              <w:rPr>
                <w:rFonts w:hint="cs"/>
                <w:b/>
                <w:bCs/>
                <w:sz w:val="26"/>
                <w:szCs w:val="26"/>
                <w:u w:val="single"/>
                <w:rtl/>
              </w:rPr>
              <w:t>התובע</w:t>
            </w:r>
          </w:p>
        </w:tc>
      </w:tr>
      <w:tr w:rsidRPr="00661A5D" w:rsidR="008A4878" w:rsidTr="007A5975">
        <w:trPr>
          <w:trHeight w:val="751"/>
        </w:trPr>
        <w:tc>
          <w:tcPr>
            <w:tcW w:w="871" w:type="dxa"/>
          </w:tcPr>
          <w:p w:rsidRPr="00661A5D" w:rsidR="008A4878" w:rsidP="00CC1B23" w:rsidRDefault="008A4878">
            <w:pPr>
              <w:rPr>
                <w:rFonts w:ascii="Arial" w:hAnsi="Arial"/>
                <w:b/>
                <w:bCs/>
                <w:noProof w:val="0"/>
                <w:sz w:val="26"/>
                <w:szCs w:val="26"/>
                <w:rtl/>
              </w:rPr>
            </w:pPr>
          </w:p>
        </w:tc>
        <w:tc>
          <w:tcPr>
            <w:tcW w:w="6211" w:type="dxa"/>
          </w:tcPr>
          <w:p w:rsidR="008A4878" w:rsidP="008A4878" w:rsidRDefault="008A4878">
            <w:pPr>
              <w:jc w:val="center"/>
              <w:rPr>
                <w:rFonts w:ascii="Arial" w:hAnsi="Arial"/>
                <w:b/>
                <w:bCs/>
                <w:noProof w:val="0"/>
                <w:sz w:val="26"/>
                <w:szCs w:val="26"/>
                <w:rtl/>
              </w:rPr>
            </w:pPr>
            <w:r w:rsidRPr="00661A5D">
              <w:rPr>
                <w:rFonts w:ascii="Arial" w:hAnsi="Arial"/>
                <w:b/>
                <w:bCs/>
                <w:noProof w:val="0"/>
                <w:sz w:val="26"/>
                <w:szCs w:val="26"/>
                <w:rtl/>
              </w:rPr>
              <w:t>נגד</w:t>
            </w:r>
          </w:p>
          <w:p w:rsidRPr="00661A5D" w:rsidR="00B46619" w:rsidP="008A4878" w:rsidRDefault="00B46619">
            <w:pPr>
              <w:jc w:val="center"/>
              <w:rPr>
                <w:rFonts w:ascii="Arial" w:hAnsi="Arial"/>
                <w:b/>
                <w:bCs/>
                <w:noProof w:val="0"/>
                <w:sz w:val="26"/>
                <w:szCs w:val="26"/>
                <w:rtl/>
              </w:rPr>
            </w:pPr>
          </w:p>
        </w:tc>
        <w:tc>
          <w:tcPr>
            <w:tcW w:w="1848" w:type="dxa"/>
          </w:tcPr>
          <w:p w:rsidRPr="00661A5D" w:rsidR="008A4878" w:rsidP="00CC1B23" w:rsidRDefault="008A4878">
            <w:pPr>
              <w:rPr>
                <w:rFonts w:ascii="Arial" w:hAnsi="Arial"/>
                <w:b/>
                <w:bCs/>
                <w:noProof w:val="0"/>
                <w:sz w:val="26"/>
                <w:szCs w:val="26"/>
              </w:rPr>
            </w:pPr>
          </w:p>
        </w:tc>
      </w:tr>
      <w:tr w:rsidRPr="00661A5D" w:rsidR="007A5975" w:rsidTr="007A5975">
        <w:trPr>
          <w:trHeight w:val="360"/>
        </w:trPr>
        <w:tc>
          <w:tcPr>
            <w:tcW w:w="871" w:type="dxa"/>
          </w:tcPr>
          <w:p w:rsidRPr="00661A5D" w:rsidR="007A5975" w:rsidP="00CC1B23" w:rsidRDefault="007A5975">
            <w:pPr>
              <w:rPr>
                <w:sz w:val="26"/>
                <w:szCs w:val="26"/>
                <w:rtl/>
              </w:rPr>
            </w:pPr>
          </w:p>
        </w:tc>
        <w:tc>
          <w:tcPr>
            <w:tcW w:w="8059" w:type="dxa"/>
            <w:gridSpan w:val="2"/>
            <w:vAlign w:val="bottom"/>
          </w:tcPr>
          <w:p w:rsidRPr="00661A5D" w:rsidR="007A5975" w:rsidP="007A5975" w:rsidRDefault="00310D49">
            <w:pPr>
              <w:rPr>
                <w:b/>
                <w:bCs/>
                <w:noProof w:val="0"/>
                <w:sz w:val="26"/>
                <w:szCs w:val="26"/>
                <w:rtl/>
              </w:rPr>
            </w:pPr>
            <w:sdt>
              <w:sdtPr>
                <w:rPr>
                  <w:sz w:val="26"/>
                  <w:szCs w:val="26"/>
                  <w:rtl/>
                </w:rPr>
                <w:alias w:val="1486"/>
                <w:tag w:val="1486"/>
                <w:id w:val="1597432495"/>
                <w:text w:multiLine="1"/>
              </w:sdtPr>
              <w:sdtEndPr/>
              <w:sdtContent>
                <w:r w:rsidR="004F3D50">
                  <w:rPr>
                    <w:rFonts w:ascii="Arial" w:hAnsi="Arial"/>
                    <w:b/>
                    <w:bCs/>
                    <w:noProof w:val="0"/>
                    <w:sz w:val="26"/>
                    <w:szCs w:val="26"/>
                    <w:rtl/>
                  </w:rPr>
                  <w:t>שירותי בריאות כללית</w:t>
                </w:r>
              </w:sdtContent>
            </w:sdt>
          </w:p>
        </w:tc>
      </w:tr>
      <w:tr w:rsidRPr="00661A5D" w:rsidR="00CC1B23" w:rsidTr="007A5975">
        <w:trPr>
          <w:trHeight w:val="762"/>
        </w:trPr>
        <w:tc>
          <w:tcPr>
            <w:tcW w:w="871" w:type="dxa"/>
          </w:tcPr>
          <w:p w:rsidR="00CC1B23" w:rsidP="00CC1B23" w:rsidRDefault="00CC1B23">
            <w:pPr>
              <w:rPr>
                <w:rFonts w:ascii="Arial" w:hAnsi="Arial"/>
                <w:noProof w:val="0"/>
                <w:sz w:val="26"/>
                <w:szCs w:val="26"/>
                <w:rtl/>
              </w:rPr>
            </w:pPr>
          </w:p>
        </w:tc>
        <w:tc>
          <w:tcPr>
            <w:tcW w:w="6211" w:type="dxa"/>
          </w:tcPr>
          <w:p w:rsidRPr="00CC1B23" w:rsidR="00CC1B23" w:rsidP="00B46619" w:rsidRDefault="00CC1B23">
            <w:pPr>
              <w:rPr>
                <w:rFonts w:ascii="Arial" w:hAnsi="Arial"/>
                <w:noProof w:val="0"/>
                <w:sz w:val="26"/>
                <w:szCs w:val="26"/>
                <w:rtl/>
              </w:rPr>
            </w:pPr>
            <w:r>
              <w:rPr>
                <w:rFonts w:hint="cs" w:ascii="Arial" w:hAnsi="Arial"/>
                <w:noProof w:val="0"/>
                <w:sz w:val="26"/>
                <w:szCs w:val="26"/>
                <w:rtl/>
              </w:rPr>
              <w:t>ע"י עו</w:t>
            </w:r>
            <w:r w:rsidR="009F5713">
              <w:rPr>
                <w:rFonts w:hint="cs" w:ascii="Arial" w:hAnsi="Arial"/>
                <w:noProof w:val="0"/>
                <w:sz w:val="26"/>
                <w:szCs w:val="26"/>
                <w:rtl/>
              </w:rPr>
              <w:t>ה</w:t>
            </w:r>
            <w:r>
              <w:rPr>
                <w:rFonts w:hint="cs" w:ascii="Arial" w:hAnsi="Arial"/>
                <w:noProof w:val="0"/>
                <w:sz w:val="26"/>
                <w:szCs w:val="26"/>
                <w:rtl/>
              </w:rPr>
              <w:t>"ד</w:t>
            </w:r>
            <w:r w:rsidR="009F5713">
              <w:rPr>
                <w:rFonts w:hint="cs" w:ascii="Arial" w:hAnsi="Arial"/>
                <w:noProof w:val="0"/>
                <w:sz w:val="26"/>
                <w:szCs w:val="26"/>
                <w:rtl/>
              </w:rPr>
              <w:t xml:space="preserve"> אריה כרמלי ותמר דאר-ברנץ</w:t>
            </w:r>
          </w:p>
        </w:tc>
        <w:tc>
          <w:tcPr>
            <w:tcW w:w="1848" w:type="dxa"/>
          </w:tcPr>
          <w:p w:rsidRPr="00CC1B23" w:rsidR="00CC1B23" w:rsidP="009F5713" w:rsidRDefault="00CC1B23">
            <w:pPr>
              <w:rPr>
                <w:rFonts w:ascii="Arial" w:hAnsi="Arial"/>
                <w:b/>
                <w:bCs/>
                <w:noProof w:val="0"/>
                <w:sz w:val="26"/>
                <w:szCs w:val="26"/>
                <w:u w:val="single"/>
                <w:rtl/>
              </w:rPr>
            </w:pPr>
            <w:r w:rsidRPr="00CC1B23">
              <w:rPr>
                <w:rFonts w:hint="cs"/>
                <w:b/>
                <w:bCs/>
                <w:sz w:val="26"/>
                <w:szCs w:val="26"/>
                <w:u w:val="single"/>
                <w:rtl/>
              </w:rPr>
              <w:t>ה</w:t>
            </w:r>
            <w:sdt>
              <w:sdtPr>
                <w:rPr>
                  <w:sz w:val="26"/>
                  <w:szCs w:val="26"/>
                  <w:u w:val="single"/>
                  <w:rtl/>
                </w:rPr>
                <w:alias w:val="1184"/>
                <w:tag w:val="1184"/>
                <w:id w:val="-2066015335"/>
                <w:text w:multiLine="1"/>
              </w:sdtPr>
              <w:sdtEndPr/>
              <w:sdtContent>
                <w:r>
                  <w:rPr>
                    <w:rFonts w:ascii="Arial" w:hAnsi="Arial"/>
                    <w:b/>
                    <w:bCs/>
                    <w:noProof w:val="0"/>
                    <w:sz w:val="26"/>
                    <w:szCs w:val="26"/>
                    <w:u w:val="single"/>
                    <w:rtl/>
                  </w:rPr>
                  <w:t>נתבע</w:t>
                </w:r>
                <w:r w:rsidR="009F5713">
                  <w:rPr>
                    <w:rFonts w:hint="cs" w:ascii="Arial" w:hAnsi="Arial"/>
                    <w:b/>
                    <w:bCs/>
                    <w:noProof w:val="0"/>
                    <w:sz w:val="26"/>
                    <w:szCs w:val="26"/>
                    <w:u w:val="single"/>
                    <w:rtl/>
                  </w:rPr>
                  <w:t>ת</w:t>
                </w:r>
              </w:sdtContent>
            </w:sdt>
          </w:p>
        </w:tc>
      </w:tr>
    </w:tbl>
    <w:p w:rsidRPr="00661A5D" w:rsidR="00694556" w:rsidP="006D3B31" w:rsidRDefault="00694556">
      <w:pPr>
        <w:suppressLineNumbers/>
        <w:rPr>
          <w:sz w:val="26"/>
          <w:szCs w:val="26"/>
        </w:rPr>
      </w:pPr>
    </w:p>
    <w:tbl>
      <w:tblPr>
        <w:tblStyle w:val="a9"/>
        <w:bidiVisual/>
        <w:tblW w:w="88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
      <w:tblGrid>
        <w:gridCol w:w="8820"/>
      </w:tblGrid>
      <w:tr w:rsidRPr="00661A5D" w:rsidR="00694556">
        <w:trPr>
          <w:jc w:val="center"/>
        </w:trPr>
        <w:tc>
          <w:tcPr>
            <w:tcW w:w="8820" w:type="dxa"/>
          </w:tcPr>
          <w:p w:rsidR="001E627B" w:rsidP="00CC1B23" w:rsidRDefault="001E627B">
            <w:pPr>
              <w:jc w:val="center"/>
              <w:rPr>
                <w:rFonts w:ascii="Arial" w:hAnsi="Arial"/>
                <w:b/>
                <w:bCs/>
                <w:noProof w:val="0"/>
                <w:sz w:val="32"/>
                <w:szCs w:val="32"/>
                <w:u w:val="single"/>
                <w:rtl/>
              </w:rPr>
            </w:pPr>
          </w:p>
          <w:p w:rsidRPr="00CC1B23" w:rsidR="00CC1B23" w:rsidP="00CC1B23" w:rsidRDefault="00180519">
            <w:pPr>
              <w:jc w:val="center"/>
              <w:rPr>
                <w:rFonts w:ascii="Arial" w:hAnsi="Arial"/>
                <w:b/>
                <w:bCs/>
                <w:noProof w:val="0"/>
                <w:sz w:val="32"/>
                <w:szCs w:val="32"/>
                <w:u w:val="single"/>
              </w:rPr>
            </w:pPr>
            <w:r w:rsidRPr="00CC1B23">
              <w:rPr>
                <w:rFonts w:hint="cs" w:ascii="Arial" w:hAnsi="Arial"/>
                <w:b/>
                <w:bCs/>
                <w:noProof w:val="0"/>
                <w:sz w:val="32"/>
                <w:szCs w:val="32"/>
                <w:u w:val="single"/>
                <w:rtl/>
              </w:rPr>
              <w:t>החלטה</w:t>
            </w:r>
          </w:p>
        </w:tc>
      </w:tr>
    </w:tbl>
    <w:p w:rsidR="00694556" w:rsidRDefault="00694556">
      <w:pPr>
        <w:spacing w:line="360" w:lineRule="auto"/>
        <w:jc w:val="both"/>
        <w:rPr>
          <w:rFonts w:ascii="Arial" w:hAnsi="Arial"/>
          <w:noProof w:val="0"/>
          <w:sz w:val="26"/>
          <w:szCs w:val="26"/>
          <w:rtl/>
        </w:rPr>
      </w:pPr>
    </w:p>
    <w:p w:rsidRPr="001E627B" w:rsidR="001E627B" w:rsidP="001E627B" w:rsidRDefault="009F5713">
      <w:pPr>
        <w:spacing w:after="160" w:line="360" w:lineRule="auto"/>
        <w:jc w:val="both"/>
        <w:rPr>
          <w:rFonts w:ascii="David" w:hAnsi="David"/>
          <w:noProof w:val="0"/>
          <w:sz w:val="26"/>
          <w:szCs w:val="26"/>
          <w:rtl/>
        </w:rPr>
      </w:pPr>
      <w:r w:rsidRPr="009F5713">
        <w:rPr>
          <w:rFonts w:ascii="David" w:hAnsi="David"/>
          <w:noProof w:val="0"/>
          <w:sz w:val="26"/>
          <w:szCs w:val="26"/>
          <w:rtl/>
        </w:rPr>
        <w:t xml:space="preserve">בקשה להארכת המועד להגשת עיקרי הטיעון מטעם התובע בארבעה ימים ולצדה בקשות הדדיות של </w:t>
      </w:r>
      <w:r w:rsidR="001E627B">
        <w:rPr>
          <w:rFonts w:hint="cs" w:ascii="David" w:hAnsi="David"/>
          <w:noProof w:val="0"/>
          <w:sz w:val="26"/>
          <w:szCs w:val="26"/>
          <w:rtl/>
        </w:rPr>
        <w:t>שני ה</w:t>
      </w:r>
      <w:r w:rsidRPr="009F5713">
        <w:rPr>
          <w:rFonts w:ascii="David" w:hAnsi="David"/>
          <w:noProof w:val="0"/>
          <w:sz w:val="26"/>
          <w:szCs w:val="26"/>
          <w:rtl/>
        </w:rPr>
        <w:t>צדדים לחייב את הצד שכנגד בהוצאות משפט.</w:t>
      </w:r>
    </w:p>
    <w:p w:rsidRPr="009F5713" w:rsidR="009F5713" w:rsidP="009F5713" w:rsidRDefault="009F5713">
      <w:pPr>
        <w:spacing w:after="160" w:line="360" w:lineRule="auto"/>
        <w:jc w:val="both"/>
        <w:rPr>
          <w:rFonts w:ascii="David" w:hAnsi="David"/>
          <w:b/>
          <w:bCs/>
          <w:noProof w:val="0"/>
          <w:sz w:val="26"/>
          <w:szCs w:val="26"/>
          <w:u w:val="single"/>
          <w:rtl/>
        </w:rPr>
      </w:pPr>
      <w:r w:rsidRPr="009F5713">
        <w:rPr>
          <w:rFonts w:ascii="David" w:hAnsi="David"/>
          <w:b/>
          <w:bCs/>
          <w:noProof w:val="0"/>
          <w:sz w:val="26"/>
          <w:szCs w:val="26"/>
          <w:u w:val="single"/>
          <w:rtl/>
        </w:rPr>
        <w:t>הרקע העובדתי</w:t>
      </w:r>
    </w:p>
    <w:p w:rsidRPr="009F5713" w:rsidR="009F5713" w:rsidP="001E627B" w:rsidRDefault="009F5713">
      <w:pPr>
        <w:numPr>
          <w:ilvl w:val="0"/>
          <w:numId w:val="1"/>
        </w:numPr>
        <w:spacing w:after="160" w:line="360" w:lineRule="auto"/>
        <w:ind w:left="-58" w:firstLine="0"/>
        <w:contextualSpacing/>
        <w:jc w:val="both"/>
        <w:rPr>
          <w:rFonts w:ascii="David" w:hAnsi="David"/>
          <w:noProof w:val="0"/>
          <w:sz w:val="26"/>
          <w:szCs w:val="26"/>
          <w:rtl/>
        </w:rPr>
      </w:pPr>
      <w:r w:rsidRPr="009F5713">
        <w:rPr>
          <w:rFonts w:ascii="David" w:hAnsi="David"/>
          <w:noProof w:val="0"/>
          <w:sz w:val="26"/>
          <w:szCs w:val="26"/>
          <w:rtl/>
        </w:rPr>
        <w:t xml:space="preserve">התובע הגיש נגד הנתבעת תביעה לפיצוי בגין נזק גוף שנגרם לו לאחר שחוסן מפני מחלת השפעת. המחלוקת בין הצדדים ממוקדת במספר שאלות </w:t>
      </w:r>
      <w:r w:rsidR="0025142A">
        <w:rPr>
          <w:rFonts w:hint="cs" w:ascii="David" w:hAnsi="David"/>
          <w:noProof w:val="0"/>
          <w:sz w:val="26"/>
          <w:szCs w:val="26"/>
          <w:rtl/>
        </w:rPr>
        <w:t>הנוגעות למידע שנמסר לתובע לפני מתן החיסון ול</w:t>
      </w:r>
      <w:r w:rsidRPr="009F5713">
        <w:rPr>
          <w:rFonts w:ascii="David" w:hAnsi="David"/>
          <w:noProof w:val="0"/>
          <w:sz w:val="26"/>
          <w:szCs w:val="26"/>
          <w:rtl/>
        </w:rPr>
        <w:t xml:space="preserve">קשר הסיבתי בין </w:t>
      </w:r>
      <w:r w:rsidR="0025142A">
        <w:rPr>
          <w:rFonts w:hint="cs" w:ascii="David" w:hAnsi="David"/>
          <w:noProof w:val="0"/>
          <w:sz w:val="26"/>
          <w:szCs w:val="26"/>
          <w:rtl/>
        </w:rPr>
        <w:t>קבלת</w:t>
      </w:r>
      <w:r w:rsidRPr="009F5713">
        <w:rPr>
          <w:rFonts w:ascii="David" w:hAnsi="David"/>
          <w:noProof w:val="0"/>
          <w:sz w:val="26"/>
          <w:szCs w:val="26"/>
          <w:rtl/>
        </w:rPr>
        <w:t xml:space="preserve"> החיסון לבין המחלה הנוירולוגית שהתובע חלה בה.</w:t>
      </w:r>
    </w:p>
    <w:p w:rsidRPr="009F5713" w:rsidR="009F5713" w:rsidP="009F5713" w:rsidRDefault="009F5713">
      <w:pPr>
        <w:spacing w:after="160" w:line="360" w:lineRule="auto"/>
        <w:ind w:left="-58"/>
        <w:contextualSpacing/>
        <w:jc w:val="both"/>
        <w:rPr>
          <w:rFonts w:ascii="David" w:hAnsi="David"/>
          <w:noProof w:val="0"/>
          <w:sz w:val="26"/>
          <w:szCs w:val="26"/>
        </w:rPr>
      </w:pPr>
    </w:p>
    <w:p w:rsidRPr="009F5713" w:rsidR="009F5713" w:rsidP="001E627B" w:rsidRDefault="001E627B">
      <w:pPr>
        <w:numPr>
          <w:ilvl w:val="0"/>
          <w:numId w:val="1"/>
        </w:numPr>
        <w:spacing w:after="160" w:line="360" w:lineRule="auto"/>
        <w:ind w:left="-58" w:firstLine="0"/>
        <w:contextualSpacing/>
        <w:jc w:val="both"/>
        <w:rPr>
          <w:rFonts w:ascii="David" w:hAnsi="David"/>
          <w:noProof w:val="0"/>
          <w:sz w:val="26"/>
          <w:szCs w:val="26"/>
        </w:rPr>
      </w:pPr>
      <w:r>
        <w:rPr>
          <w:rFonts w:hint="cs" w:ascii="David" w:hAnsi="David"/>
          <w:noProof w:val="0"/>
          <w:sz w:val="26"/>
          <w:szCs w:val="26"/>
          <w:rtl/>
        </w:rPr>
        <w:t xml:space="preserve">במהלך ניהול ההליך </w:t>
      </w:r>
      <w:r w:rsidRPr="009F5713" w:rsidR="009F5713">
        <w:rPr>
          <w:rFonts w:ascii="David" w:hAnsi="David"/>
          <w:noProof w:val="0"/>
          <w:sz w:val="26"/>
          <w:szCs w:val="26"/>
          <w:rtl/>
        </w:rPr>
        <w:t>הנתבעת ביקשה וקיבלה הארכות מועד להגשת חוות דעת מטעמה (החלטות מיום 25.10.2018, 8.11.2018, 26.12.2018, 6.1.2019, 17.2.2019, 8.5.2019) ו</w:t>
      </w:r>
      <w:r>
        <w:rPr>
          <w:rFonts w:hint="cs" w:ascii="David" w:hAnsi="David"/>
          <w:noProof w:val="0"/>
          <w:sz w:val="26"/>
          <w:szCs w:val="26"/>
          <w:rtl/>
        </w:rPr>
        <w:t>תצהירי העדות הראשית הוגשו באיחור</w:t>
      </w:r>
      <w:r w:rsidRPr="009F5713" w:rsidR="009F5713">
        <w:rPr>
          <w:rFonts w:ascii="David" w:hAnsi="David"/>
          <w:noProof w:val="0"/>
          <w:sz w:val="26"/>
          <w:szCs w:val="26"/>
          <w:rtl/>
        </w:rPr>
        <w:t xml:space="preserve"> (ר' החלטה מיום 11.11.2019). כל זאת, מבלי שהנתבעת חויבה בהוצאות (לאי הגשתו של תיק המוצגים במועד התייחסתי בהחלטה מיום 6.12.2020). </w:t>
      </w:r>
    </w:p>
    <w:p w:rsidRPr="009F5713" w:rsidR="009F5713" w:rsidP="009F5713" w:rsidRDefault="009F5713">
      <w:pPr>
        <w:spacing w:after="160" w:line="259" w:lineRule="auto"/>
        <w:ind w:left="720"/>
        <w:contextualSpacing/>
        <w:rPr>
          <w:rFonts w:ascii="David" w:hAnsi="David"/>
          <w:noProof w:val="0"/>
          <w:sz w:val="26"/>
          <w:szCs w:val="26"/>
          <w:rtl/>
        </w:rPr>
      </w:pPr>
    </w:p>
    <w:p w:rsidR="009F5713" w:rsidP="001E627B" w:rsidRDefault="009F5713">
      <w:pPr>
        <w:numPr>
          <w:ilvl w:val="0"/>
          <w:numId w:val="1"/>
        </w:numPr>
        <w:spacing w:after="160" w:line="360" w:lineRule="auto"/>
        <w:ind w:left="-58" w:firstLine="0"/>
        <w:contextualSpacing/>
        <w:jc w:val="both"/>
        <w:rPr>
          <w:rFonts w:ascii="David" w:hAnsi="David"/>
          <w:noProof w:val="0"/>
          <w:sz w:val="26"/>
          <w:szCs w:val="26"/>
        </w:rPr>
      </w:pPr>
      <w:r w:rsidRPr="009F5713">
        <w:rPr>
          <w:rFonts w:ascii="David" w:hAnsi="David"/>
          <w:noProof w:val="0"/>
          <w:sz w:val="26"/>
          <w:szCs w:val="26"/>
          <w:rtl/>
        </w:rPr>
        <w:t xml:space="preserve">מכל מקום, לאחר </w:t>
      </w:r>
      <w:r w:rsidR="001E627B">
        <w:rPr>
          <w:rFonts w:hint="cs" w:ascii="David" w:hAnsi="David"/>
          <w:noProof w:val="0"/>
          <w:sz w:val="26"/>
          <w:szCs w:val="26"/>
          <w:rtl/>
        </w:rPr>
        <w:t>העיכוב בהגשת חוות הדעת והראיות, התיק</w:t>
      </w:r>
      <w:r w:rsidRPr="009F5713">
        <w:rPr>
          <w:rFonts w:ascii="David" w:hAnsi="David"/>
          <w:noProof w:val="0"/>
          <w:sz w:val="26"/>
          <w:szCs w:val="26"/>
          <w:rtl/>
        </w:rPr>
        <w:t xml:space="preserve"> נקבע לשמיעת ראיות והתקיימו ארבע ישיבות הוכחות. בתום ישיבת ההוכחות האחרונה, ביום 14.2.2021, נקבע בהסכמת הצדדים מועד לשמיעת הסיכומים בעל פה (ליום 13.4.2020) וכן מועדים להגשת עיקרי טיעון: עיקרי הטיעון מטעם התובע עד ליום 7.3.2021, עיקרי הטיעון מטעם הנתבעת עד ליום 5.4.2021. קביעת המועדים נעשתה בין היתר בשים לב לכך שנדרש פרק זמן לתמלול פרוטוקול הישיבה</w:t>
      </w:r>
      <w:r w:rsidR="0025142A">
        <w:rPr>
          <w:rFonts w:hint="cs" w:ascii="David" w:hAnsi="David"/>
          <w:noProof w:val="0"/>
          <w:sz w:val="26"/>
          <w:szCs w:val="26"/>
          <w:rtl/>
        </w:rPr>
        <w:t xml:space="preserve"> האחרונה</w:t>
      </w:r>
      <w:r w:rsidRPr="009F5713">
        <w:rPr>
          <w:rFonts w:ascii="David" w:hAnsi="David"/>
          <w:noProof w:val="0"/>
          <w:sz w:val="26"/>
          <w:szCs w:val="26"/>
          <w:rtl/>
        </w:rPr>
        <w:t xml:space="preserve"> ולהטמעתו במערכת נט המשפט.</w:t>
      </w:r>
    </w:p>
    <w:p w:rsidRPr="009F5713" w:rsidR="001E627B" w:rsidP="001E627B" w:rsidRDefault="001E627B">
      <w:pPr>
        <w:spacing w:after="160"/>
        <w:ind w:left="-58"/>
        <w:contextualSpacing/>
        <w:jc w:val="both"/>
        <w:rPr>
          <w:rFonts w:ascii="David" w:hAnsi="David"/>
          <w:noProof w:val="0"/>
          <w:sz w:val="26"/>
          <w:szCs w:val="26"/>
        </w:rPr>
      </w:pPr>
    </w:p>
    <w:p w:rsidRPr="009F5713" w:rsidR="009F5713" w:rsidP="009F5713" w:rsidRDefault="009F5713">
      <w:pPr>
        <w:spacing w:after="160" w:line="360" w:lineRule="auto"/>
        <w:jc w:val="both"/>
        <w:rPr>
          <w:rFonts w:ascii="David" w:hAnsi="David"/>
          <w:b/>
          <w:bCs/>
          <w:noProof w:val="0"/>
          <w:sz w:val="26"/>
          <w:szCs w:val="26"/>
          <w:u w:val="single"/>
          <w:rtl/>
        </w:rPr>
      </w:pPr>
      <w:r w:rsidRPr="009F5713">
        <w:rPr>
          <w:rFonts w:ascii="David" w:hAnsi="David"/>
          <w:b/>
          <w:bCs/>
          <w:noProof w:val="0"/>
          <w:sz w:val="26"/>
          <w:szCs w:val="26"/>
          <w:u w:val="single"/>
          <w:rtl/>
        </w:rPr>
        <w:t>הבקשה, התגובה והתשובה לתגובה</w:t>
      </w:r>
    </w:p>
    <w:p w:rsidR="00F96FD2" w:rsidP="0025142A" w:rsidRDefault="009F5713">
      <w:pPr>
        <w:numPr>
          <w:ilvl w:val="0"/>
          <w:numId w:val="1"/>
        </w:numPr>
        <w:spacing w:after="160" w:line="360" w:lineRule="auto"/>
        <w:ind w:left="-58" w:firstLine="0"/>
        <w:contextualSpacing/>
        <w:jc w:val="both"/>
        <w:rPr>
          <w:rFonts w:ascii="David" w:hAnsi="David"/>
          <w:noProof w:val="0"/>
          <w:sz w:val="26"/>
          <w:szCs w:val="26"/>
        </w:rPr>
      </w:pPr>
      <w:r w:rsidRPr="009F5713">
        <w:rPr>
          <w:rFonts w:ascii="David" w:hAnsi="David"/>
          <w:noProof w:val="0"/>
          <w:sz w:val="26"/>
          <w:szCs w:val="26"/>
          <w:rtl/>
        </w:rPr>
        <w:t xml:space="preserve">ביום 8.3.2021 הגיש התובע "בקשת ארכה להגשת עיקרי טיעון מטעם התובע". בבקשה נכתב כי עקב נסיבות אישיות של </w:t>
      </w:r>
      <w:r w:rsidR="0025142A">
        <w:rPr>
          <w:rFonts w:hint="cs" w:ascii="David" w:hAnsi="David"/>
          <w:noProof w:val="0"/>
          <w:sz w:val="26"/>
          <w:szCs w:val="26"/>
          <w:rtl/>
        </w:rPr>
        <w:t>בא-כוח</w:t>
      </w:r>
      <w:r w:rsidRPr="009F5713">
        <w:rPr>
          <w:rFonts w:ascii="David" w:hAnsi="David"/>
          <w:noProof w:val="0"/>
          <w:sz w:val="26"/>
          <w:szCs w:val="26"/>
          <w:rtl/>
        </w:rPr>
        <w:t xml:space="preserve"> התובע הוא לא הספיק להשלים את כתיבת עיקרי הטיעון. הארכה שהתבקשה הייתה למשך ארבעה ימים – עד ליום 11.3.2021. </w:t>
      </w:r>
    </w:p>
    <w:p w:rsidR="00F96FD2" w:rsidP="00F96FD2" w:rsidRDefault="00F96FD2">
      <w:pPr>
        <w:spacing w:after="160"/>
        <w:ind w:left="-58"/>
        <w:contextualSpacing/>
        <w:jc w:val="both"/>
        <w:rPr>
          <w:rFonts w:ascii="David" w:hAnsi="David"/>
          <w:noProof w:val="0"/>
          <w:sz w:val="26"/>
          <w:szCs w:val="26"/>
        </w:rPr>
      </w:pPr>
    </w:p>
    <w:p w:rsidRPr="009F5713" w:rsidR="009F5713" w:rsidP="0025142A" w:rsidRDefault="009F5713">
      <w:pPr>
        <w:numPr>
          <w:ilvl w:val="0"/>
          <w:numId w:val="1"/>
        </w:numPr>
        <w:spacing w:after="160" w:line="360" w:lineRule="auto"/>
        <w:ind w:left="-58" w:firstLine="0"/>
        <w:contextualSpacing/>
        <w:jc w:val="both"/>
        <w:rPr>
          <w:rFonts w:ascii="David" w:hAnsi="David"/>
          <w:noProof w:val="0"/>
          <w:sz w:val="26"/>
          <w:szCs w:val="26"/>
        </w:rPr>
      </w:pPr>
      <w:r w:rsidRPr="009F5713">
        <w:rPr>
          <w:rFonts w:ascii="David" w:hAnsi="David"/>
          <w:noProof w:val="0"/>
          <w:sz w:val="26"/>
          <w:szCs w:val="26"/>
          <w:rtl/>
        </w:rPr>
        <w:t xml:space="preserve">בא-כוח התובע פרט כמצוות תקנה 55 לתקנות סדר הדין האזרחי, התשע"ט-2018 (להלן: </w:t>
      </w:r>
      <w:r w:rsidR="00F96FD2">
        <w:rPr>
          <w:rFonts w:hint="cs" w:ascii="David" w:hAnsi="David"/>
          <w:b/>
          <w:bCs/>
          <w:noProof w:val="0"/>
          <w:sz w:val="26"/>
          <w:szCs w:val="26"/>
          <w:rtl/>
        </w:rPr>
        <w:t xml:space="preserve">התקנות </w:t>
      </w:r>
      <w:r w:rsidR="00F96FD2">
        <w:rPr>
          <w:rFonts w:hint="cs" w:ascii="David" w:hAnsi="David"/>
          <w:noProof w:val="0"/>
          <w:sz w:val="26"/>
          <w:szCs w:val="26"/>
          <w:rtl/>
        </w:rPr>
        <w:t xml:space="preserve">או </w:t>
      </w:r>
      <w:r w:rsidRPr="009F5713">
        <w:rPr>
          <w:rFonts w:ascii="David" w:hAnsi="David"/>
          <w:b/>
          <w:bCs/>
          <w:noProof w:val="0"/>
          <w:sz w:val="26"/>
          <w:szCs w:val="26"/>
          <w:rtl/>
        </w:rPr>
        <w:t>התקנות החדשות</w:t>
      </w:r>
      <w:r w:rsidRPr="009F5713">
        <w:rPr>
          <w:rFonts w:ascii="David" w:hAnsi="David"/>
          <w:noProof w:val="0"/>
          <w:sz w:val="26"/>
          <w:szCs w:val="26"/>
          <w:rtl/>
        </w:rPr>
        <w:t xml:space="preserve">), כי לא היו פניות קודמות בעניין זה, וכי לא הצליח להשיג את עמדת </w:t>
      </w:r>
      <w:r w:rsidR="0025142A">
        <w:rPr>
          <w:rFonts w:hint="cs" w:ascii="David" w:hAnsi="David"/>
          <w:noProof w:val="0"/>
          <w:sz w:val="26"/>
          <w:szCs w:val="26"/>
          <w:rtl/>
        </w:rPr>
        <w:t>באת-כוח</w:t>
      </w:r>
      <w:r w:rsidRPr="009F5713">
        <w:rPr>
          <w:rFonts w:ascii="David" w:hAnsi="David"/>
          <w:noProof w:val="0"/>
          <w:sz w:val="26"/>
          <w:szCs w:val="26"/>
          <w:rtl/>
        </w:rPr>
        <w:t xml:space="preserve"> הנתבעת, ומשיחה שקיים עם משרדה נמסר לו כי היא נמצאת בדיון הוכחות ואינה משיבה להודעות דואר אלקטרוני או להודעות לטלפון הנייד שלה. נוכח האמור ופרק הזמן הקצר שהתבקש נעתרתי לבקשה. </w:t>
      </w:r>
    </w:p>
    <w:p w:rsidRPr="009F5713" w:rsidR="009F5713" w:rsidP="009F5713" w:rsidRDefault="009F5713">
      <w:pPr>
        <w:spacing w:after="160" w:line="259" w:lineRule="auto"/>
        <w:ind w:left="720"/>
        <w:contextualSpacing/>
        <w:rPr>
          <w:rFonts w:ascii="David" w:hAnsi="David"/>
          <w:noProof w:val="0"/>
          <w:sz w:val="26"/>
          <w:szCs w:val="26"/>
          <w:rtl/>
        </w:rPr>
      </w:pPr>
    </w:p>
    <w:p w:rsidR="00F96FD2" w:rsidP="00F96FD2" w:rsidRDefault="009F5713">
      <w:pPr>
        <w:numPr>
          <w:ilvl w:val="0"/>
          <w:numId w:val="1"/>
        </w:numPr>
        <w:spacing w:line="360" w:lineRule="auto"/>
        <w:ind w:left="-57" w:firstLine="0"/>
        <w:contextualSpacing/>
        <w:jc w:val="both"/>
        <w:rPr>
          <w:rFonts w:ascii="David" w:hAnsi="David"/>
          <w:noProof w:val="0"/>
          <w:sz w:val="26"/>
          <w:szCs w:val="26"/>
        </w:rPr>
      </w:pPr>
      <w:r w:rsidRPr="009F5713">
        <w:rPr>
          <w:rFonts w:ascii="David" w:hAnsi="David"/>
          <w:noProof w:val="0"/>
          <w:sz w:val="26"/>
          <w:szCs w:val="26"/>
          <w:rtl/>
        </w:rPr>
        <w:t>ביום 9.3.2021 הגישה הנתבעת את תגובתה, שבה ציינה כי הפנייה לקבלת עמדתה נעשתה בשעה 13:27 וכי בשעה 14:17 היא העבירה לב</w:t>
      </w:r>
      <w:r w:rsidR="0025142A">
        <w:rPr>
          <w:rFonts w:hint="cs" w:ascii="David" w:hAnsi="David"/>
          <w:noProof w:val="0"/>
          <w:sz w:val="26"/>
          <w:szCs w:val="26"/>
          <w:rtl/>
        </w:rPr>
        <w:t>א-כוח</w:t>
      </w:r>
      <w:r w:rsidRPr="009F5713">
        <w:rPr>
          <w:rFonts w:ascii="David" w:hAnsi="David"/>
          <w:noProof w:val="0"/>
          <w:sz w:val="26"/>
          <w:szCs w:val="26"/>
          <w:rtl/>
        </w:rPr>
        <w:t xml:space="preserve"> התובע את עמדתה לגבי הבקשה. בגדרה של אותה עמדה, שצורפה לתגובה, הנתבעת התנגדה לבקשה וביקשה לחייב את התובע בהוצאות בגין האיחור בהגשת עיקרי טיעון מטעמו. </w:t>
      </w:r>
    </w:p>
    <w:p w:rsidR="00F96FD2" w:rsidP="00F96FD2" w:rsidRDefault="00F96FD2">
      <w:pPr>
        <w:pStyle w:val="ad"/>
        <w:spacing w:after="0" w:line="240" w:lineRule="auto"/>
        <w:rPr>
          <w:rFonts w:hint="cs" w:ascii="David" w:hAnsi="David"/>
          <w:sz w:val="26"/>
          <w:szCs w:val="26"/>
          <w:rtl/>
        </w:rPr>
      </w:pPr>
    </w:p>
    <w:p w:rsidRPr="009F5713" w:rsidR="009F5713" w:rsidP="001E627B" w:rsidRDefault="009F5713">
      <w:pPr>
        <w:numPr>
          <w:ilvl w:val="0"/>
          <w:numId w:val="1"/>
        </w:numPr>
        <w:spacing w:after="160" w:line="360" w:lineRule="auto"/>
        <w:ind w:left="-58" w:firstLine="0"/>
        <w:contextualSpacing/>
        <w:jc w:val="both"/>
        <w:rPr>
          <w:rFonts w:ascii="David" w:hAnsi="David"/>
          <w:noProof w:val="0"/>
          <w:sz w:val="26"/>
          <w:szCs w:val="26"/>
        </w:rPr>
      </w:pPr>
      <w:r w:rsidRPr="009F5713">
        <w:rPr>
          <w:rFonts w:ascii="David" w:hAnsi="David"/>
          <w:noProof w:val="0"/>
          <w:sz w:val="26"/>
          <w:szCs w:val="26"/>
          <w:rtl/>
        </w:rPr>
        <w:t xml:space="preserve">הנתבעת הוסיפה כי אם הבקשה תתקבל לתובע יהיה פרק זמן של 25 ימים להגשת עיקרי </w:t>
      </w:r>
      <w:r w:rsidR="0025142A">
        <w:rPr>
          <w:rFonts w:hint="cs" w:ascii="David" w:hAnsi="David"/>
          <w:noProof w:val="0"/>
          <w:sz w:val="26"/>
          <w:szCs w:val="26"/>
          <w:rtl/>
        </w:rPr>
        <w:t>ה</w:t>
      </w:r>
      <w:r w:rsidRPr="009F5713">
        <w:rPr>
          <w:rFonts w:ascii="David" w:hAnsi="David"/>
          <w:noProof w:val="0"/>
          <w:sz w:val="26"/>
          <w:szCs w:val="26"/>
          <w:rtl/>
        </w:rPr>
        <w:t>טיעון בע</w:t>
      </w:r>
      <w:r w:rsidR="0025142A">
        <w:rPr>
          <w:rFonts w:hint="cs" w:ascii="David" w:hAnsi="David"/>
          <w:noProof w:val="0"/>
          <w:sz w:val="26"/>
          <w:szCs w:val="26"/>
          <w:rtl/>
        </w:rPr>
        <w:t>ו</w:t>
      </w:r>
      <w:r w:rsidRPr="009F5713">
        <w:rPr>
          <w:rFonts w:ascii="David" w:hAnsi="David"/>
          <w:noProof w:val="0"/>
          <w:sz w:val="26"/>
          <w:szCs w:val="26"/>
          <w:rtl/>
        </w:rPr>
        <w:t xml:space="preserve">ד פרק </w:t>
      </w:r>
      <w:r w:rsidR="0025142A">
        <w:rPr>
          <w:rFonts w:hint="cs" w:ascii="David" w:hAnsi="David"/>
          <w:noProof w:val="0"/>
          <w:sz w:val="26"/>
          <w:szCs w:val="26"/>
          <w:rtl/>
        </w:rPr>
        <w:t>ה</w:t>
      </w:r>
      <w:r w:rsidRPr="009F5713">
        <w:rPr>
          <w:rFonts w:ascii="David" w:hAnsi="David"/>
          <w:noProof w:val="0"/>
          <w:sz w:val="26"/>
          <w:szCs w:val="26"/>
          <w:rtl/>
        </w:rPr>
        <w:t xml:space="preserve">זמן </w:t>
      </w:r>
      <w:r w:rsidR="0025142A">
        <w:rPr>
          <w:rFonts w:hint="cs" w:ascii="David" w:hAnsi="David"/>
          <w:noProof w:val="0"/>
          <w:sz w:val="26"/>
          <w:szCs w:val="26"/>
          <w:rtl/>
        </w:rPr>
        <w:t xml:space="preserve">שניתן לנתבעת הוא </w:t>
      </w:r>
      <w:r w:rsidRPr="009F5713">
        <w:rPr>
          <w:rFonts w:ascii="David" w:hAnsi="David"/>
          <w:noProof w:val="0"/>
          <w:sz w:val="26"/>
          <w:szCs w:val="26"/>
          <w:rtl/>
        </w:rPr>
        <w:t xml:space="preserve"> 13 ימים, ולכן היא עמדה על הארכת מועד מקבילה עבורה ועל דחיית מועד הסיכומים.</w:t>
      </w:r>
    </w:p>
    <w:p w:rsidRPr="001E627B" w:rsidR="009F5713" w:rsidP="009F5713" w:rsidRDefault="009F5713">
      <w:pPr>
        <w:spacing w:after="160" w:line="259" w:lineRule="auto"/>
        <w:ind w:left="720"/>
        <w:contextualSpacing/>
        <w:rPr>
          <w:rFonts w:ascii="David" w:hAnsi="David"/>
          <w:noProof w:val="0"/>
          <w:sz w:val="26"/>
          <w:szCs w:val="26"/>
          <w:rtl/>
        </w:rPr>
      </w:pPr>
    </w:p>
    <w:p w:rsidRPr="009F5713" w:rsidR="009F5713" w:rsidP="001E627B" w:rsidRDefault="009F5713">
      <w:pPr>
        <w:numPr>
          <w:ilvl w:val="0"/>
          <w:numId w:val="1"/>
        </w:numPr>
        <w:spacing w:after="160" w:line="360" w:lineRule="auto"/>
        <w:ind w:left="-58" w:firstLine="0"/>
        <w:contextualSpacing/>
        <w:jc w:val="both"/>
        <w:rPr>
          <w:rFonts w:ascii="David" w:hAnsi="David"/>
          <w:noProof w:val="0"/>
          <w:sz w:val="26"/>
          <w:szCs w:val="26"/>
        </w:rPr>
      </w:pPr>
      <w:r w:rsidRPr="009F5713">
        <w:rPr>
          <w:rFonts w:ascii="David" w:hAnsi="David"/>
          <w:noProof w:val="0"/>
          <w:sz w:val="26"/>
          <w:szCs w:val="26"/>
          <w:rtl/>
        </w:rPr>
        <w:t>מאחר וממילא דובר בפרק זמן קצר עד למועד שבו אמורים היו עיקרי הטיעון להיות מוגשים הוריתי לתובע להשיב לתגובה יחד עם הגשת עיקרי הטיעון. התובע השיב כי המידע שלפיו באת כוח הנתבעת נמצאת בישיבת הוכחות ולא תוכל להגיב נמסר על ידי מזכירתה של באת</w:t>
      </w:r>
      <w:r w:rsidR="001E627B">
        <w:rPr>
          <w:rFonts w:hint="cs" w:ascii="David" w:hAnsi="David"/>
          <w:noProof w:val="0"/>
          <w:sz w:val="26"/>
          <w:szCs w:val="26"/>
          <w:rtl/>
        </w:rPr>
        <w:t>-</w:t>
      </w:r>
      <w:r w:rsidRPr="009F5713">
        <w:rPr>
          <w:rFonts w:ascii="David" w:hAnsi="David"/>
          <w:noProof w:val="0"/>
          <w:sz w:val="26"/>
          <w:szCs w:val="26"/>
          <w:rtl/>
        </w:rPr>
        <w:t>כוח הנתבעת, ונוכח הדחיפות בהגשת הבקשה היא הוגשה כך. אשר לבקשות הנתבעת לפסיקת הוצאות ולדחיית מועד הסיכומים, בא</w:t>
      </w:r>
      <w:r w:rsidR="001E627B">
        <w:rPr>
          <w:rFonts w:hint="cs" w:ascii="David" w:hAnsi="David"/>
          <w:noProof w:val="0"/>
          <w:sz w:val="26"/>
          <w:szCs w:val="26"/>
          <w:rtl/>
        </w:rPr>
        <w:t>-</w:t>
      </w:r>
      <w:r w:rsidRPr="009F5713">
        <w:rPr>
          <w:rFonts w:ascii="David" w:hAnsi="David"/>
          <w:noProof w:val="0"/>
          <w:sz w:val="26"/>
          <w:szCs w:val="26"/>
          <w:rtl/>
        </w:rPr>
        <w:t xml:space="preserve">כוח התובע השיב כי ההתנגדות להארכת המועד והבקשות לדחייה נגועות בחוסר תום לב מוחלט. הוא הפנה לכך שהנתבעת לא קיימה את החלטות בית המשפט לאורך ההליך, למרות </w:t>
      </w:r>
      <w:r w:rsidR="001E627B">
        <w:rPr>
          <w:rFonts w:hint="cs" w:ascii="David" w:hAnsi="David"/>
          <w:noProof w:val="0"/>
          <w:sz w:val="26"/>
          <w:szCs w:val="26"/>
          <w:rtl/>
        </w:rPr>
        <w:t>ה</w:t>
      </w:r>
      <w:r w:rsidRPr="009F5713">
        <w:rPr>
          <w:rFonts w:ascii="David" w:hAnsi="David"/>
          <w:noProof w:val="0"/>
          <w:sz w:val="26"/>
          <w:szCs w:val="26"/>
          <w:rtl/>
        </w:rPr>
        <w:t>ארכות חוזרות ונשנות שהוענקו לה, תוך שה</w:t>
      </w:r>
      <w:r w:rsidR="001E627B">
        <w:rPr>
          <w:rFonts w:hint="cs" w:ascii="David" w:hAnsi="David"/>
          <w:noProof w:val="0"/>
          <w:sz w:val="26"/>
          <w:szCs w:val="26"/>
          <w:rtl/>
        </w:rPr>
        <w:t xml:space="preserve">זכיר את </w:t>
      </w:r>
      <w:r w:rsidRPr="009F5713">
        <w:rPr>
          <w:rFonts w:ascii="David" w:hAnsi="David"/>
          <w:noProof w:val="0"/>
          <w:sz w:val="26"/>
          <w:szCs w:val="26"/>
          <w:rtl/>
        </w:rPr>
        <w:t xml:space="preserve">החלטת בית המשפט מיום 26.5.2019 בעניין הגשת התצהירים וכן </w:t>
      </w:r>
      <w:r w:rsidR="001E627B">
        <w:rPr>
          <w:rFonts w:hint="cs" w:ascii="David" w:hAnsi="David"/>
          <w:noProof w:val="0"/>
          <w:sz w:val="26"/>
          <w:szCs w:val="26"/>
          <w:rtl/>
        </w:rPr>
        <w:t xml:space="preserve">את </w:t>
      </w:r>
      <w:r w:rsidRPr="009F5713">
        <w:rPr>
          <w:rFonts w:ascii="David" w:hAnsi="David"/>
          <w:noProof w:val="0"/>
          <w:sz w:val="26"/>
          <w:szCs w:val="26"/>
          <w:rtl/>
        </w:rPr>
        <w:t>אי</w:t>
      </w:r>
      <w:r w:rsidR="001E627B">
        <w:rPr>
          <w:rFonts w:hint="cs" w:ascii="David" w:hAnsi="David"/>
          <w:noProof w:val="0"/>
          <w:sz w:val="26"/>
          <w:szCs w:val="26"/>
          <w:rtl/>
        </w:rPr>
        <w:t>-</w:t>
      </w:r>
      <w:r w:rsidRPr="009F5713">
        <w:rPr>
          <w:rFonts w:ascii="David" w:hAnsi="David"/>
          <w:noProof w:val="0"/>
          <w:sz w:val="26"/>
          <w:szCs w:val="26"/>
          <w:rtl/>
        </w:rPr>
        <w:t xml:space="preserve">הגשתו של תיק מוצגים במועד. לדידו אין בארכה של ימים ספורים כדי להצדיק את </w:t>
      </w:r>
      <w:r w:rsidR="0025142A">
        <w:rPr>
          <w:rFonts w:hint="cs" w:ascii="David" w:hAnsi="David"/>
          <w:noProof w:val="0"/>
          <w:sz w:val="26"/>
          <w:szCs w:val="26"/>
          <w:rtl/>
        </w:rPr>
        <w:t>דחיית ה</w:t>
      </w:r>
      <w:r w:rsidRPr="009F5713">
        <w:rPr>
          <w:rFonts w:ascii="David" w:hAnsi="David"/>
          <w:noProof w:val="0"/>
          <w:sz w:val="26"/>
          <w:szCs w:val="26"/>
          <w:rtl/>
        </w:rPr>
        <w:t>מועד</w:t>
      </w:r>
      <w:r w:rsidR="0025142A">
        <w:rPr>
          <w:rFonts w:hint="cs" w:ascii="David" w:hAnsi="David"/>
          <w:noProof w:val="0"/>
          <w:sz w:val="26"/>
          <w:szCs w:val="26"/>
          <w:rtl/>
        </w:rPr>
        <w:t xml:space="preserve"> שנקבע ל</w:t>
      </w:r>
      <w:r w:rsidRPr="009F5713">
        <w:rPr>
          <w:rFonts w:ascii="David" w:hAnsi="David"/>
          <w:noProof w:val="0"/>
          <w:sz w:val="26"/>
          <w:szCs w:val="26"/>
          <w:rtl/>
        </w:rPr>
        <w:t>שמיעת הסיכומים.</w:t>
      </w:r>
    </w:p>
    <w:p w:rsidR="009F5713" w:rsidP="00F96FD2" w:rsidRDefault="009F5713">
      <w:pPr>
        <w:spacing w:after="160"/>
        <w:ind w:left="720"/>
        <w:contextualSpacing/>
        <w:rPr>
          <w:rFonts w:ascii="David" w:hAnsi="David"/>
          <w:noProof w:val="0"/>
          <w:sz w:val="26"/>
          <w:szCs w:val="26"/>
          <w:rtl/>
        </w:rPr>
      </w:pPr>
    </w:p>
    <w:p w:rsidRPr="009F5713" w:rsidR="009F5713" w:rsidP="009F5713" w:rsidRDefault="009F5713">
      <w:pPr>
        <w:spacing w:after="160" w:line="360" w:lineRule="auto"/>
        <w:ind w:left="-58"/>
        <w:contextualSpacing/>
        <w:jc w:val="both"/>
        <w:rPr>
          <w:rFonts w:ascii="David" w:hAnsi="David"/>
          <w:b/>
          <w:bCs/>
          <w:noProof w:val="0"/>
          <w:sz w:val="26"/>
          <w:szCs w:val="26"/>
          <w:u w:val="single"/>
        </w:rPr>
      </w:pPr>
      <w:bookmarkStart w:name="_GoBack" w:id="0"/>
      <w:bookmarkEnd w:id="0"/>
      <w:r w:rsidRPr="009F5713">
        <w:rPr>
          <w:rFonts w:ascii="David" w:hAnsi="David"/>
          <w:b/>
          <w:bCs/>
          <w:noProof w:val="0"/>
          <w:sz w:val="26"/>
          <w:szCs w:val="26"/>
          <w:u w:val="single"/>
          <w:rtl/>
        </w:rPr>
        <w:t>דיון והכרעה</w:t>
      </w:r>
    </w:p>
    <w:p w:rsidRPr="009F5713" w:rsidR="009F5713" w:rsidP="009F5713" w:rsidRDefault="009F5713">
      <w:pPr>
        <w:numPr>
          <w:ilvl w:val="0"/>
          <w:numId w:val="1"/>
        </w:numPr>
        <w:spacing w:after="160" w:line="360" w:lineRule="auto"/>
        <w:ind w:left="-58" w:firstLine="0"/>
        <w:contextualSpacing/>
        <w:jc w:val="both"/>
        <w:rPr>
          <w:rFonts w:ascii="David" w:hAnsi="David"/>
          <w:noProof w:val="0"/>
          <w:sz w:val="26"/>
          <w:szCs w:val="26"/>
        </w:rPr>
      </w:pPr>
      <w:r w:rsidRPr="009F5713">
        <w:rPr>
          <w:rFonts w:ascii="David" w:hAnsi="David"/>
          <w:noProof w:val="0"/>
          <w:sz w:val="26"/>
          <w:szCs w:val="26"/>
          <w:rtl/>
        </w:rPr>
        <w:t xml:space="preserve">לאחר בחינת עמדות הצדדים לא ראיתי לשנות מהחלטתי להאריך את המועד להגשת הסיכומים בארבעה ימים, לא מצאתי מקום לחייב את התובע בהוצאות משפט, והחלטתי לדחות לפרק זמן קצר את מועד שמיעת הסיכומים. </w:t>
      </w:r>
    </w:p>
    <w:p w:rsidRPr="009F5713" w:rsidR="009F5713" w:rsidP="009F5713" w:rsidRDefault="009F5713">
      <w:pPr>
        <w:spacing w:after="160"/>
        <w:ind w:left="-58"/>
        <w:contextualSpacing/>
        <w:jc w:val="both"/>
        <w:rPr>
          <w:rFonts w:ascii="David" w:hAnsi="David"/>
          <w:noProof w:val="0"/>
          <w:sz w:val="26"/>
          <w:szCs w:val="26"/>
        </w:rPr>
      </w:pPr>
    </w:p>
    <w:p w:rsidRPr="009F5713" w:rsidR="009F5713" w:rsidP="009F5713" w:rsidRDefault="009F5713">
      <w:pPr>
        <w:spacing w:after="160" w:line="360" w:lineRule="auto"/>
        <w:ind w:left="-58"/>
        <w:contextualSpacing/>
        <w:jc w:val="both"/>
        <w:rPr>
          <w:rFonts w:ascii="David" w:hAnsi="David"/>
          <w:b/>
          <w:bCs/>
          <w:noProof w:val="0"/>
          <w:sz w:val="26"/>
          <w:szCs w:val="26"/>
          <w:u w:val="single"/>
        </w:rPr>
      </w:pPr>
      <w:r w:rsidRPr="009F5713">
        <w:rPr>
          <w:rFonts w:ascii="David" w:hAnsi="David"/>
          <w:b/>
          <w:bCs/>
          <w:noProof w:val="0"/>
          <w:sz w:val="26"/>
          <w:szCs w:val="26"/>
          <w:u w:val="single"/>
          <w:rtl/>
        </w:rPr>
        <w:t>הארכת מועדים</w:t>
      </w:r>
    </w:p>
    <w:p w:rsidRPr="009F5713" w:rsidR="009F5713" w:rsidP="0025142A" w:rsidRDefault="009F5713">
      <w:pPr>
        <w:numPr>
          <w:ilvl w:val="0"/>
          <w:numId w:val="1"/>
        </w:numPr>
        <w:spacing w:after="160" w:line="360" w:lineRule="auto"/>
        <w:ind w:left="-58" w:firstLine="0"/>
        <w:contextualSpacing/>
        <w:jc w:val="both"/>
        <w:rPr>
          <w:rFonts w:ascii="David" w:hAnsi="David"/>
          <w:noProof w:val="0"/>
          <w:sz w:val="26"/>
          <w:szCs w:val="26"/>
        </w:rPr>
      </w:pPr>
      <w:r w:rsidRPr="009F5713">
        <w:rPr>
          <w:rFonts w:ascii="David" w:hAnsi="David"/>
          <w:noProof w:val="0"/>
          <w:sz w:val="26"/>
          <w:szCs w:val="26"/>
          <w:rtl/>
        </w:rPr>
        <w:t>השאלה הראשונה נוגעת לעצם הארכת המועד. בענייננו נתבקשה אמנם ארכה קצרה של ארבעה ימים אך הפנייה הוגשה לאחר המועד (ביום 8.3.2021, כאשר המועד להגשת עיקרי הטיעון היה ביום 7.3.2021).</w:t>
      </w:r>
    </w:p>
    <w:p w:rsidRPr="009F5713" w:rsidR="009F5713" w:rsidP="009F5713" w:rsidRDefault="009F5713">
      <w:pPr>
        <w:spacing w:after="160"/>
        <w:ind w:left="-58"/>
        <w:contextualSpacing/>
        <w:jc w:val="both"/>
        <w:rPr>
          <w:rFonts w:ascii="David" w:hAnsi="David"/>
          <w:noProof w:val="0"/>
          <w:sz w:val="26"/>
          <w:szCs w:val="26"/>
        </w:rPr>
      </w:pPr>
    </w:p>
    <w:p w:rsidRPr="009F5713" w:rsidR="009F5713" w:rsidP="009F5713" w:rsidRDefault="009F5713">
      <w:pPr>
        <w:numPr>
          <w:ilvl w:val="0"/>
          <w:numId w:val="1"/>
        </w:numPr>
        <w:spacing w:after="160" w:line="360" w:lineRule="auto"/>
        <w:ind w:left="-58" w:firstLine="0"/>
        <w:contextualSpacing/>
        <w:jc w:val="both"/>
        <w:rPr>
          <w:rFonts w:ascii="David" w:hAnsi="David"/>
          <w:noProof w:val="0"/>
          <w:sz w:val="26"/>
          <w:szCs w:val="26"/>
        </w:rPr>
      </w:pPr>
      <w:r w:rsidRPr="009F5713">
        <w:rPr>
          <w:rFonts w:ascii="David" w:hAnsi="David"/>
          <w:noProof w:val="0"/>
          <w:sz w:val="26"/>
          <w:szCs w:val="26"/>
          <w:rtl/>
        </w:rPr>
        <w:t xml:space="preserve">תקנה 176 לתקנות הדנה בסמכותו של בית המשפט למתן הוראות מבחינה בין שני סוגים של הארכות מועדים: אלה הקבועים בחיקוק – ניתנים להארכה בהתקיימם של </w:t>
      </w:r>
      <w:r w:rsidRPr="009F5713">
        <w:rPr>
          <w:rFonts w:ascii="David" w:hAnsi="David"/>
          <w:noProof w:val="0"/>
          <w:sz w:val="26"/>
          <w:szCs w:val="26"/>
          <w:u w:val="single"/>
          <w:rtl/>
        </w:rPr>
        <w:t>טעמים מיוחדים</w:t>
      </w:r>
      <w:r w:rsidRPr="009F5713">
        <w:rPr>
          <w:rFonts w:ascii="David" w:hAnsi="David"/>
          <w:noProof w:val="0"/>
          <w:sz w:val="26"/>
          <w:szCs w:val="26"/>
          <w:rtl/>
        </w:rPr>
        <w:t xml:space="preserve"> (תקנה 176 (ב)</w:t>
      </w:r>
      <w:r w:rsidR="00F96FD2">
        <w:rPr>
          <w:rFonts w:hint="cs" w:ascii="David" w:hAnsi="David"/>
          <w:noProof w:val="0"/>
          <w:sz w:val="26"/>
          <w:szCs w:val="26"/>
          <w:rtl/>
        </w:rPr>
        <w:t>)</w:t>
      </w:r>
      <w:r w:rsidRPr="009F5713">
        <w:rPr>
          <w:rFonts w:ascii="David" w:hAnsi="David"/>
          <w:noProof w:val="0"/>
          <w:sz w:val="26"/>
          <w:szCs w:val="26"/>
          <w:rtl/>
        </w:rPr>
        <w:t xml:space="preserve">; אלה שנקבעו על ידי בית המשפט, ניתנים להארכה לפי </w:t>
      </w:r>
      <w:r w:rsidRPr="009F5713">
        <w:rPr>
          <w:rFonts w:ascii="David" w:hAnsi="David"/>
          <w:noProof w:val="0"/>
          <w:sz w:val="26"/>
          <w:szCs w:val="26"/>
          <w:u w:val="single"/>
          <w:rtl/>
        </w:rPr>
        <w:t>שיקול דעתו של בית המשפט</w:t>
      </w:r>
      <w:r w:rsidRPr="009F5713">
        <w:rPr>
          <w:rFonts w:ascii="David" w:hAnsi="David"/>
          <w:noProof w:val="0"/>
          <w:sz w:val="26"/>
          <w:szCs w:val="26"/>
          <w:rtl/>
        </w:rPr>
        <w:t xml:space="preserve"> (תקנה 176 (ג)).</w:t>
      </w:r>
    </w:p>
    <w:p w:rsidRPr="009F5713" w:rsidR="009F5713" w:rsidP="009F5713" w:rsidRDefault="009F5713">
      <w:pPr>
        <w:spacing w:after="160" w:line="259" w:lineRule="auto"/>
        <w:ind w:left="720"/>
        <w:contextualSpacing/>
        <w:rPr>
          <w:rFonts w:ascii="David" w:hAnsi="David"/>
          <w:noProof w:val="0"/>
          <w:sz w:val="26"/>
          <w:szCs w:val="26"/>
          <w:rtl/>
        </w:rPr>
      </w:pPr>
    </w:p>
    <w:p w:rsidRPr="009F5713" w:rsidR="009F5713" w:rsidP="009F5713" w:rsidRDefault="009F5713">
      <w:pPr>
        <w:numPr>
          <w:ilvl w:val="0"/>
          <w:numId w:val="1"/>
        </w:numPr>
        <w:spacing w:after="160" w:line="360" w:lineRule="auto"/>
        <w:ind w:left="-58" w:firstLine="0"/>
        <w:contextualSpacing/>
        <w:jc w:val="both"/>
        <w:rPr>
          <w:rFonts w:ascii="David" w:hAnsi="David"/>
          <w:noProof w:val="0"/>
          <w:sz w:val="26"/>
          <w:szCs w:val="26"/>
        </w:rPr>
      </w:pPr>
      <w:r w:rsidRPr="009F5713">
        <w:rPr>
          <w:rFonts w:ascii="David" w:hAnsi="David"/>
          <w:noProof w:val="0"/>
          <w:sz w:val="26"/>
          <w:szCs w:val="26"/>
          <w:rtl/>
        </w:rPr>
        <w:t>בענייננו המדובר בהארכה המסורה לשיקול הדעת של בית המשפט, ואף שהפנייה הוגשה לאחר שהמועד חלף, ונימוקי הבקשה נשענים על "נסיבות אישיות" ללא כל פירוט, מצאתי בשים לב לכך שהמדובר בארבעה ימים, ובשים לב לאורך הרוח שממנו נהנתה הנתבעת להיעתר לבקשה.</w:t>
      </w:r>
    </w:p>
    <w:p w:rsidRPr="009F5713" w:rsidR="009F5713" w:rsidP="009F5713" w:rsidRDefault="009F5713">
      <w:pPr>
        <w:spacing w:after="160" w:line="259" w:lineRule="auto"/>
        <w:ind w:left="720"/>
        <w:contextualSpacing/>
        <w:rPr>
          <w:rFonts w:ascii="David" w:hAnsi="David"/>
          <w:noProof w:val="0"/>
          <w:sz w:val="26"/>
          <w:szCs w:val="26"/>
          <w:rtl/>
        </w:rPr>
      </w:pPr>
    </w:p>
    <w:p w:rsidRPr="009F5713" w:rsidR="009F5713" w:rsidP="009F5713" w:rsidRDefault="009F5713">
      <w:pPr>
        <w:spacing w:after="160" w:line="360" w:lineRule="auto"/>
        <w:ind w:left="-58"/>
        <w:contextualSpacing/>
        <w:jc w:val="both"/>
        <w:rPr>
          <w:rFonts w:ascii="David" w:hAnsi="David"/>
          <w:b/>
          <w:bCs/>
          <w:noProof w:val="0"/>
          <w:sz w:val="26"/>
          <w:szCs w:val="26"/>
          <w:u w:val="single"/>
        </w:rPr>
      </w:pPr>
      <w:r w:rsidRPr="009F5713">
        <w:rPr>
          <w:rFonts w:ascii="David" w:hAnsi="David"/>
          <w:b/>
          <w:bCs/>
          <w:noProof w:val="0"/>
          <w:sz w:val="26"/>
          <w:szCs w:val="26"/>
          <w:u w:val="single"/>
          <w:rtl/>
        </w:rPr>
        <w:t>צירוף עמדת בעל הדין שכנגד</w:t>
      </w:r>
    </w:p>
    <w:p w:rsidR="009F5713" w:rsidP="009F5713" w:rsidRDefault="009F5713">
      <w:pPr>
        <w:numPr>
          <w:ilvl w:val="0"/>
          <w:numId w:val="1"/>
        </w:numPr>
        <w:spacing w:after="160" w:line="360" w:lineRule="auto"/>
        <w:ind w:left="-58" w:firstLine="0"/>
        <w:contextualSpacing/>
        <w:jc w:val="both"/>
        <w:rPr>
          <w:rFonts w:ascii="David" w:hAnsi="David"/>
          <w:noProof w:val="0"/>
          <w:sz w:val="26"/>
          <w:szCs w:val="26"/>
        </w:rPr>
      </w:pPr>
      <w:r w:rsidRPr="009F5713">
        <w:rPr>
          <w:rFonts w:ascii="David" w:hAnsi="David"/>
          <w:noProof w:val="0"/>
          <w:sz w:val="26"/>
          <w:szCs w:val="26"/>
          <w:rtl/>
        </w:rPr>
        <w:t>התקנות החדשות יוצרות הבחנה בין "בקשה" לבין "פנייה". הפנייה שמוסדרת בתקנה 55 לתקנות החדשות מיוחדת לעניינים טכניים הנובעים לניהול שוטף של ההליך:</w:t>
      </w:r>
    </w:p>
    <w:p w:rsidRPr="009F5713" w:rsidR="009F5713" w:rsidP="009F5713" w:rsidRDefault="009F5713">
      <w:pPr>
        <w:spacing w:after="160"/>
        <w:ind w:left="-58"/>
        <w:contextualSpacing/>
        <w:jc w:val="both"/>
        <w:rPr>
          <w:rFonts w:ascii="David" w:hAnsi="David"/>
          <w:noProof w:val="0"/>
          <w:sz w:val="26"/>
          <w:szCs w:val="26"/>
        </w:rPr>
      </w:pPr>
    </w:p>
    <w:p w:rsidRPr="009F5713" w:rsidR="009F5713" w:rsidP="009F5713" w:rsidRDefault="009F5713">
      <w:pPr>
        <w:spacing w:after="160" w:line="259" w:lineRule="auto"/>
        <w:ind w:left="720" w:right="851"/>
        <w:jc w:val="both"/>
        <w:rPr>
          <w:rFonts w:ascii="David" w:hAnsi="David"/>
          <w:noProof w:val="0"/>
          <w:sz w:val="26"/>
          <w:szCs w:val="26"/>
          <w:rtl/>
        </w:rPr>
      </w:pPr>
      <w:r w:rsidRPr="009F5713">
        <w:rPr>
          <w:rFonts w:ascii="David" w:hAnsi="David"/>
          <w:noProof w:val="0"/>
          <w:sz w:val="26"/>
          <w:szCs w:val="26"/>
          <w:rtl/>
        </w:rPr>
        <w:t>"פניות בעניינים טכניים הנוגעים לניהול שוטף של ההליך, לרבות פניות לשינוי מועדים, יוגשו אל בית המשפט בצירוף עמדת בעל הדין שכנגד, זולת אם לא ניתן לצרפן כתוצאה מהתנהלותו של בעל הדין שכנגד או בשל נסיבות אחרות שלפונה לא היתה שליטה עליהן ושצוינו בפנייה; בפנייה יצוין התאריך המבוקש לשינוי המועד וכן מספר הפניות הקודמות שהוגשו באותו עניין.</w:t>
      </w:r>
      <w:r w:rsidR="00F96FD2">
        <w:rPr>
          <w:rFonts w:hint="cs" w:ascii="David" w:hAnsi="David"/>
          <w:noProof w:val="0"/>
          <w:sz w:val="26"/>
          <w:szCs w:val="26"/>
          <w:rtl/>
        </w:rPr>
        <w:t>"</w:t>
      </w:r>
    </w:p>
    <w:p w:rsidRPr="009F5713" w:rsidR="009F5713" w:rsidP="0025142A" w:rsidRDefault="009F5713">
      <w:pPr>
        <w:spacing w:after="160"/>
        <w:ind w:right="851"/>
        <w:jc w:val="both"/>
        <w:rPr>
          <w:rFonts w:ascii="David" w:hAnsi="David"/>
          <w:noProof w:val="0"/>
          <w:sz w:val="26"/>
          <w:szCs w:val="26"/>
          <w:rtl/>
        </w:rPr>
      </w:pPr>
    </w:p>
    <w:p w:rsidRPr="009F5713" w:rsidR="009F5713" w:rsidP="009F5713" w:rsidRDefault="009F5713">
      <w:pPr>
        <w:numPr>
          <w:ilvl w:val="0"/>
          <w:numId w:val="1"/>
        </w:numPr>
        <w:spacing w:after="160" w:line="360" w:lineRule="auto"/>
        <w:ind w:left="-58" w:firstLine="0"/>
        <w:contextualSpacing/>
        <w:jc w:val="both"/>
        <w:rPr>
          <w:rFonts w:ascii="David" w:hAnsi="David"/>
          <w:noProof w:val="0"/>
          <w:sz w:val="26"/>
          <w:szCs w:val="26"/>
        </w:rPr>
      </w:pPr>
      <w:r w:rsidRPr="009F5713">
        <w:rPr>
          <w:rFonts w:ascii="David" w:hAnsi="David"/>
          <w:noProof w:val="0"/>
          <w:sz w:val="26"/>
          <w:szCs w:val="26"/>
          <w:rtl/>
        </w:rPr>
        <w:lastRenderedPageBreak/>
        <w:t xml:space="preserve">בענייננו אין מדובר אפוא ב"בקשה" אלא ב"פנייה". הגשת פנייה מחייבת את צירוף "עמדת בעל הדין שכנגד, זולת אם לא ניתן לצרפן כתוצאה מהתנהלותו של בעל הדין שכנגד או בשל נסיבות אחרות שלפונה לא הייתה שליטה עליהן ושצוינו בפנייה". </w:t>
      </w:r>
    </w:p>
    <w:p w:rsidRPr="009F5713" w:rsidR="009F5713" w:rsidP="009F5713" w:rsidRDefault="009F5713">
      <w:pPr>
        <w:spacing w:after="160"/>
        <w:ind w:left="-58"/>
        <w:contextualSpacing/>
        <w:jc w:val="both"/>
        <w:rPr>
          <w:rFonts w:ascii="David" w:hAnsi="David"/>
          <w:noProof w:val="0"/>
          <w:sz w:val="26"/>
          <w:szCs w:val="26"/>
        </w:rPr>
      </w:pPr>
    </w:p>
    <w:p w:rsidRPr="009F5713" w:rsidR="009F5713" w:rsidP="009F5713" w:rsidRDefault="009F5713">
      <w:pPr>
        <w:numPr>
          <w:ilvl w:val="0"/>
          <w:numId w:val="1"/>
        </w:numPr>
        <w:spacing w:after="160" w:line="360" w:lineRule="auto"/>
        <w:ind w:left="-58" w:firstLine="0"/>
        <w:contextualSpacing/>
        <w:jc w:val="both"/>
        <w:rPr>
          <w:rFonts w:ascii="David" w:hAnsi="David"/>
          <w:noProof w:val="0"/>
          <w:sz w:val="26"/>
          <w:szCs w:val="26"/>
        </w:rPr>
      </w:pPr>
      <w:r w:rsidRPr="009F5713">
        <w:rPr>
          <w:rFonts w:ascii="David" w:hAnsi="David"/>
          <w:noProof w:val="0"/>
          <w:sz w:val="26"/>
          <w:szCs w:val="26"/>
          <w:rtl/>
        </w:rPr>
        <w:t xml:space="preserve">במקרה זה לא צורפה עמדת הצד שכנגד בנימוק שלא ניתן לצרפה, ובשל כך אף ניתנה החלטה המקבלת את הבקשה, אלא שבדיעבד עולה כי דרך ההתנהלות לא הייתה בהכרח תקינה. מתוך התיעוד שבמערכת נט המשפט נלמד כי הפנייה הנדונה הוגשה לבית המשפט ביום 8.3.2021 בשעה </w:t>
      </w:r>
      <w:r w:rsidRPr="009F5713">
        <w:rPr>
          <w:rFonts w:ascii="David" w:hAnsi="David"/>
          <w:b/>
          <w:bCs/>
          <w:noProof w:val="0"/>
          <w:sz w:val="26"/>
          <w:szCs w:val="26"/>
          <w:u w:val="single"/>
          <w:rtl/>
        </w:rPr>
        <w:t>13:47</w:t>
      </w:r>
      <w:r w:rsidRPr="009F5713">
        <w:rPr>
          <w:rFonts w:ascii="David" w:hAnsi="David"/>
          <w:noProof w:val="0"/>
          <w:sz w:val="26"/>
          <w:szCs w:val="26"/>
          <w:rtl/>
        </w:rPr>
        <w:t xml:space="preserve">, כאשר לא צורפה לה עמדת הצד שכנגד, בנימוק שעורכת הדין המטפלת בתיק במשרד באי-כוח הנתבעת מצויה בישיבת הוכחות ואינה זמינה למתן מענה. </w:t>
      </w:r>
    </w:p>
    <w:p w:rsidRPr="009F5713" w:rsidR="009F5713" w:rsidP="009F5713" w:rsidRDefault="009F5713">
      <w:pPr>
        <w:spacing w:after="160" w:line="259" w:lineRule="auto"/>
        <w:ind w:left="720"/>
        <w:contextualSpacing/>
        <w:rPr>
          <w:rFonts w:ascii="David" w:hAnsi="David"/>
          <w:noProof w:val="0"/>
          <w:sz w:val="26"/>
          <w:szCs w:val="26"/>
          <w:rtl/>
        </w:rPr>
      </w:pPr>
    </w:p>
    <w:p w:rsidRPr="009F5713" w:rsidR="009F5713" w:rsidP="0025142A" w:rsidRDefault="009F5713">
      <w:pPr>
        <w:numPr>
          <w:ilvl w:val="0"/>
          <w:numId w:val="1"/>
        </w:numPr>
        <w:spacing w:after="160" w:line="360" w:lineRule="auto"/>
        <w:ind w:left="-58" w:firstLine="0"/>
        <w:contextualSpacing/>
        <w:jc w:val="both"/>
        <w:rPr>
          <w:rFonts w:ascii="David" w:hAnsi="David"/>
          <w:noProof w:val="0"/>
          <w:sz w:val="26"/>
          <w:szCs w:val="26"/>
        </w:rPr>
      </w:pPr>
      <w:r w:rsidRPr="009F5713">
        <w:rPr>
          <w:rFonts w:ascii="David" w:hAnsi="David"/>
          <w:noProof w:val="0"/>
          <w:sz w:val="26"/>
          <w:szCs w:val="26"/>
          <w:rtl/>
        </w:rPr>
        <w:t>עם זאת, מתוך המסמכים שצורפו לתגובת הנתבעת עולה כי הודעת הדואר האלקטרוני של בא</w:t>
      </w:r>
      <w:r w:rsidR="0025142A">
        <w:rPr>
          <w:rFonts w:hint="cs" w:ascii="David" w:hAnsi="David"/>
          <w:noProof w:val="0"/>
          <w:sz w:val="26"/>
          <w:szCs w:val="26"/>
          <w:rtl/>
        </w:rPr>
        <w:t>-</w:t>
      </w:r>
      <w:r w:rsidRPr="009F5713">
        <w:rPr>
          <w:rFonts w:ascii="David" w:hAnsi="David"/>
          <w:noProof w:val="0"/>
          <w:sz w:val="26"/>
          <w:szCs w:val="26"/>
          <w:rtl/>
        </w:rPr>
        <w:t>כוח התובע לבאת</w:t>
      </w:r>
      <w:r w:rsidR="0025142A">
        <w:rPr>
          <w:rFonts w:hint="cs" w:ascii="David" w:hAnsi="David"/>
          <w:noProof w:val="0"/>
          <w:sz w:val="26"/>
          <w:szCs w:val="26"/>
          <w:rtl/>
        </w:rPr>
        <w:t>-</w:t>
      </w:r>
      <w:r w:rsidRPr="009F5713">
        <w:rPr>
          <w:rFonts w:ascii="David" w:hAnsi="David"/>
          <w:noProof w:val="0"/>
          <w:sz w:val="26"/>
          <w:szCs w:val="26"/>
          <w:rtl/>
        </w:rPr>
        <w:t xml:space="preserve">כוח הנתבעת נשלחה באותו יום בשעה </w:t>
      </w:r>
      <w:r w:rsidRPr="009F5713">
        <w:rPr>
          <w:rFonts w:ascii="David" w:hAnsi="David"/>
          <w:b/>
          <w:bCs/>
          <w:noProof w:val="0"/>
          <w:sz w:val="26"/>
          <w:szCs w:val="26"/>
          <w:u w:val="single"/>
          <w:rtl/>
        </w:rPr>
        <w:t>13:25</w:t>
      </w:r>
      <w:r w:rsidRPr="009F5713">
        <w:rPr>
          <w:rFonts w:ascii="David" w:hAnsi="David"/>
          <w:noProof w:val="0"/>
          <w:sz w:val="26"/>
          <w:szCs w:val="26"/>
          <w:rtl/>
        </w:rPr>
        <w:t>. תגובת הנתבעת נ</w:t>
      </w:r>
      <w:r w:rsidR="0025142A">
        <w:rPr>
          <w:rFonts w:hint="cs" w:ascii="David" w:hAnsi="David"/>
          <w:noProof w:val="0"/>
          <w:sz w:val="26"/>
          <w:szCs w:val="26"/>
          <w:rtl/>
        </w:rPr>
        <w:t>שלחה לבא-כוח התובע</w:t>
      </w:r>
      <w:r w:rsidRPr="009F5713">
        <w:rPr>
          <w:rFonts w:ascii="David" w:hAnsi="David"/>
          <w:noProof w:val="0"/>
          <w:sz w:val="26"/>
          <w:szCs w:val="26"/>
          <w:rtl/>
        </w:rPr>
        <w:t xml:space="preserve"> בדואר אלקטרוני בשעה </w:t>
      </w:r>
      <w:r w:rsidRPr="009F5713">
        <w:rPr>
          <w:rFonts w:ascii="David" w:hAnsi="David"/>
          <w:b/>
          <w:bCs/>
          <w:noProof w:val="0"/>
          <w:sz w:val="26"/>
          <w:szCs w:val="26"/>
          <w:u w:val="single"/>
          <w:rtl/>
        </w:rPr>
        <w:t>14:17.</w:t>
      </w:r>
    </w:p>
    <w:p w:rsidRPr="009F5713" w:rsidR="009F5713" w:rsidP="009F5713" w:rsidRDefault="009F5713">
      <w:pPr>
        <w:spacing w:after="160" w:line="259" w:lineRule="auto"/>
        <w:ind w:left="720"/>
        <w:contextualSpacing/>
        <w:rPr>
          <w:rFonts w:ascii="David" w:hAnsi="David"/>
          <w:noProof w:val="0"/>
          <w:sz w:val="26"/>
          <w:szCs w:val="26"/>
          <w:rtl/>
        </w:rPr>
      </w:pPr>
    </w:p>
    <w:p w:rsidRPr="009F5713" w:rsidR="009F5713" w:rsidP="009F5713" w:rsidRDefault="009F5713">
      <w:pPr>
        <w:numPr>
          <w:ilvl w:val="0"/>
          <w:numId w:val="1"/>
        </w:numPr>
        <w:spacing w:after="160" w:line="360" w:lineRule="auto"/>
        <w:ind w:left="-58" w:firstLine="0"/>
        <w:contextualSpacing/>
        <w:jc w:val="both"/>
        <w:rPr>
          <w:rFonts w:ascii="David" w:hAnsi="David"/>
          <w:noProof w:val="0"/>
          <w:sz w:val="26"/>
          <w:szCs w:val="26"/>
        </w:rPr>
      </w:pPr>
      <w:r w:rsidRPr="009F5713">
        <w:rPr>
          <w:rFonts w:ascii="David" w:hAnsi="David"/>
          <w:noProof w:val="0"/>
          <w:sz w:val="26"/>
          <w:szCs w:val="26"/>
          <w:rtl/>
        </w:rPr>
        <w:t>על-פני הדברים פרק הזמן בין הודעת הדואר האלקטרוני המבקשת את עמדת בעל הדין שכנגד לבין הגשת הפנייה לבית המשפט הוא פרק זמן קצר של 22 דקות, וברור כי המתנה כזו אינה מקיימת את אחד מעקרונות היסוד של התקנות המחייב בעל דין "לנהוג בתום לב ובהגינות דיונית" (תקנה 3(ב) לתקנות), ונדרשת המתנה לפרק זמן סביר יותר בטרם תוגש הפנייה ללא עמדת בעל הדין שכנגד. למרות זאת, בהינתן כי בא-כוח התובע טען כי שוחח עם מזכירה במשרד באי כוח הנתבעת ונמסר לו שבאת כוח הנתבעת אינה זמינה בשעות הקרובות, איני סבור כי די בכך כדי להצדיק את דחיית הפנייה.</w:t>
      </w:r>
    </w:p>
    <w:p w:rsidRPr="009F5713" w:rsidR="009F5713" w:rsidP="009F5713" w:rsidRDefault="009F5713">
      <w:pPr>
        <w:spacing w:after="160" w:line="259" w:lineRule="auto"/>
        <w:ind w:left="720"/>
        <w:contextualSpacing/>
        <w:rPr>
          <w:rFonts w:ascii="David" w:hAnsi="David"/>
          <w:noProof w:val="0"/>
          <w:sz w:val="26"/>
          <w:szCs w:val="26"/>
          <w:rtl/>
        </w:rPr>
      </w:pPr>
    </w:p>
    <w:p w:rsidRPr="009F5713" w:rsidR="009F5713" w:rsidP="009F5713" w:rsidRDefault="009F5713">
      <w:pPr>
        <w:numPr>
          <w:ilvl w:val="0"/>
          <w:numId w:val="1"/>
        </w:numPr>
        <w:spacing w:after="160" w:line="360" w:lineRule="auto"/>
        <w:ind w:left="-58" w:firstLine="0"/>
        <w:contextualSpacing/>
        <w:jc w:val="both"/>
        <w:rPr>
          <w:rFonts w:ascii="David" w:hAnsi="David"/>
          <w:noProof w:val="0"/>
          <w:sz w:val="26"/>
          <w:szCs w:val="26"/>
        </w:rPr>
      </w:pPr>
      <w:r w:rsidRPr="009F5713">
        <w:rPr>
          <w:rFonts w:ascii="David" w:hAnsi="David"/>
          <w:noProof w:val="0"/>
          <w:sz w:val="26"/>
          <w:szCs w:val="26"/>
          <w:rtl/>
        </w:rPr>
        <w:t>אלא שהמחדל הדיוני אינו מתמצה בהימנעות מצירוף עמדת בעל הדין שכנגד לפנייה עצמה אלא נובע מההימנעות מלהביא לידיעת בית המשפט את התגובה, גם אם נמסרה  לאחר הגשת הפנייה, וזאת על מנת שהתמונה תעמוד לפני בית המשפט במלואה, ולא תינתן החלטה בהתעלם מעמדת הנתבעת, שעה שזו מצויה כבר בידי בא כוח התובע.</w:t>
      </w:r>
    </w:p>
    <w:p w:rsidR="009F5713" w:rsidP="009F5713" w:rsidRDefault="009F5713">
      <w:pPr>
        <w:spacing w:after="160" w:line="259" w:lineRule="auto"/>
        <w:ind w:left="720"/>
        <w:contextualSpacing/>
        <w:rPr>
          <w:rFonts w:ascii="David" w:hAnsi="David"/>
          <w:noProof w:val="0"/>
          <w:sz w:val="26"/>
          <w:szCs w:val="26"/>
          <w:rtl/>
        </w:rPr>
      </w:pPr>
    </w:p>
    <w:p w:rsidRPr="009F5713" w:rsidR="009F5713" w:rsidP="009F5713" w:rsidRDefault="009F5713">
      <w:pPr>
        <w:spacing w:after="160" w:line="360" w:lineRule="auto"/>
        <w:jc w:val="both"/>
        <w:rPr>
          <w:rFonts w:ascii="David" w:hAnsi="David"/>
          <w:b/>
          <w:bCs/>
          <w:noProof w:val="0"/>
          <w:sz w:val="26"/>
          <w:szCs w:val="26"/>
          <w:u w:val="single"/>
          <w:rtl/>
        </w:rPr>
      </w:pPr>
      <w:r w:rsidRPr="009F5713">
        <w:rPr>
          <w:rFonts w:ascii="David" w:hAnsi="David"/>
          <w:b/>
          <w:bCs/>
          <w:noProof w:val="0"/>
          <w:sz w:val="26"/>
          <w:szCs w:val="26"/>
          <w:u w:val="single"/>
          <w:rtl/>
        </w:rPr>
        <w:t>חיוב בהוצאות משפט בעקבות פנייה לשינוי מועד או להארכת מועד</w:t>
      </w:r>
    </w:p>
    <w:p w:rsidRPr="009F5713" w:rsidR="009F5713" w:rsidP="009F5713" w:rsidRDefault="009F5713">
      <w:pPr>
        <w:numPr>
          <w:ilvl w:val="0"/>
          <w:numId w:val="1"/>
        </w:numPr>
        <w:spacing w:after="160" w:line="360" w:lineRule="auto"/>
        <w:ind w:left="-58" w:firstLine="0"/>
        <w:contextualSpacing/>
        <w:jc w:val="both"/>
        <w:rPr>
          <w:rFonts w:ascii="David" w:hAnsi="David"/>
          <w:noProof w:val="0"/>
          <w:sz w:val="26"/>
          <w:szCs w:val="26"/>
        </w:rPr>
      </w:pPr>
      <w:r w:rsidRPr="009F5713">
        <w:rPr>
          <w:rFonts w:ascii="David" w:hAnsi="David"/>
          <w:noProof w:val="0"/>
          <w:sz w:val="26"/>
          <w:szCs w:val="26"/>
          <w:rtl/>
        </w:rPr>
        <w:t>כפי שציינתי לעיל, המדובר ב"פנייה", שמוסדרת בתקנה 55 לתקנות החדשות מיוחדת לעניינים טכניים הנובעים לניהול שוטף של ההליך.</w:t>
      </w:r>
    </w:p>
    <w:p w:rsidRPr="009F5713" w:rsidR="009F5713" w:rsidP="009F5713" w:rsidRDefault="009F5713">
      <w:pPr>
        <w:spacing w:after="160"/>
        <w:ind w:left="-58"/>
        <w:contextualSpacing/>
        <w:jc w:val="both"/>
        <w:rPr>
          <w:rFonts w:ascii="David" w:hAnsi="David"/>
          <w:noProof w:val="0"/>
          <w:sz w:val="26"/>
          <w:szCs w:val="26"/>
        </w:rPr>
      </w:pPr>
    </w:p>
    <w:p w:rsidRPr="009F5713" w:rsidR="009F5713" w:rsidP="0025142A" w:rsidRDefault="009F5713">
      <w:pPr>
        <w:numPr>
          <w:ilvl w:val="0"/>
          <w:numId w:val="1"/>
        </w:numPr>
        <w:spacing w:after="160" w:line="360" w:lineRule="auto"/>
        <w:ind w:left="-58" w:firstLine="0"/>
        <w:contextualSpacing/>
        <w:jc w:val="both"/>
        <w:rPr>
          <w:rFonts w:ascii="David" w:hAnsi="David"/>
          <w:noProof w:val="0"/>
          <w:sz w:val="26"/>
          <w:szCs w:val="26"/>
        </w:rPr>
      </w:pPr>
      <w:r w:rsidRPr="009F5713">
        <w:rPr>
          <w:rFonts w:ascii="David" w:hAnsi="David"/>
          <w:noProof w:val="0"/>
          <w:sz w:val="26"/>
          <w:szCs w:val="26"/>
          <w:rtl/>
        </w:rPr>
        <w:t>להבדל בין "בקשה" לבין "פנייה" משמעות הרלוונטית לפסיקת הוצאות המשפט (שכוללות שכר טרחת עורך דין</w:t>
      </w:r>
      <w:r w:rsidR="00F96FD2">
        <w:rPr>
          <w:rFonts w:hint="cs" w:ascii="David" w:hAnsi="David"/>
          <w:noProof w:val="0"/>
          <w:sz w:val="26"/>
          <w:szCs w:val="26"/>
          <w:rtl/>
        </w:rPr>
        <w:t xml:space="preserve"> </w:t>
      </w:r>
      <w:r w:rsidR="00F96FD2">
        <w:rPr>
          <w:rFonts w:ascii="David" w:hAnsi="David"/>
          <w:noProof w:val="0"/>
          <w:sz w:val="26"/>
          <w:szCs w:val="26"/>
          <w:rtl/>
        </w:rPr>
        <w:t>–</w:t>
      </w:r>
      <w:r w:rsidR="00F96FD2">
        <w:rPr>
          <w:rFonts w:hint="cs" w:ascii="David" w:hAnsi="David"/>
          <w:noProof w:val="0"/>
          <w:sz w:val="26"/>
          <w:szCs w:val="26"/>
          <w:rtl/>
        </w:rPr>
        <w:t xml:space="preserve"> ר' ההגדרה שבתקנה 6 לתקנות החדשות</w:t>
      </w:r>
      <w:r w:rsidRPr="009F5713">
        <w:rPr>
          <w:rFonts w:ascii="David" w:hAnsi="David"/>
          <w:noProof w:val="0"/>
          <w:sz w:val="26"/>
          <w:szCs w:val="26"/>
          <w:rtl/>
        </w:rPr>
        <w:t>). בעניינן של בקשות קובעת תקנה 53 לתקנות כי שלא כבעבר יש מקום לפסוק הוצאות בגין כל בקשה ללא קשר לתוצאות ההליך:</w:t>
      </w:r>
    </w:p>
    <w:p w:rsidR="0025142A" w:rsidP="0025142A" w:rsidRDefault="0025142A">
      <w:pPr>
        <w:spacing w:after="160"/>
        <w:ind w:left="720" w:right="851"/>
        <w:rPr>
          <w:rFonts w:ascii="David" w:hAnsi="David"/>
          <w:noProof w:val="0"/>
          <w:sz w:val="26"/>
          <w:szCs w:val="26"/>
          <w:rtl/>
        </w:rPr>
      </w:pPr>
    </w:p>
    <w:p w:rsidRPr="009F5713" w:rsidR="009F5713" w:rsidP="009F5713" w:rsidRDefault="009F5713">
      <w:pPr>
        <w:spacing w:after="160" w:line="259" w:lineRule="auto"/>
        <w:ind w:left="720" w:right="851"/>
        <w:rPr>
          <w:rFonts w:ascii="David" w:hAnsi="David"/>
          <w:noProof w:val="0"/>
          <w:sz w:val="26"/>
          <w:szCs w:val="26"/>
          <w:rtl/>
        </w:rPr>
      </w:pPr>
      <w:r w:rsidRPr="009F5713">
        <w:rPr>
          <w:rFonts w:ascii="David" w:hAnsi="David"/>
          <w:noProof w:val="0"/>
          <w:sz w:val="26"/>
          <w:szCs w:val="26"/>
          <w:rtl/>
        </w:rPr>
        <w:t>"בתום הדיון בכל בקשה יפסוק בית המשפט את הוצאות הבקשה ועל מי הן חלות, בלא קשר לתוצאות ההליך העיקרי, זולת אם מצא שקיימים טעמים מיוחדים שלא לחייב בהוצאות כאמור."</w:t>
      </w:r>
    </w:p>
    <w:p w:rsidRPr="009F5713" w:rsidR="009F5713" w:rsidP="009F5713" w:rsidRDefault="009F5713">
      <w:pPr>
        <w:spacing w:after="160" w:line="259" w:lineRule="auto"/>
        <w:ind w:left="720"/>
        <w:contextualSpacing/>
        <w:rPr>
          <w:rFonts w:ascii="David" w:hAnsi="David"/>
          <w:noProof w:val="0"/>
          <w:sz w:val="26"/>
          <w:szCs w:val="26"/>
          <w:rtl/>
        </w:rPr>
      </w:pPr>
    </w:p>
    <w:p w:rsidRPr="009F5713" w:rsidR="009F5713" w:rsidP="00F96FD2" w:rsidRDefault="00F96FD2">
      <w:pPr>
        <w:numPr>
          <w:ilvl w:val="0"/>
          <w:numId w:val="1"/>
        </w:numPr>
        <w:spacing w:after="160" w:line="360" w:lineRule="auto"/>
        <w:ind w:left="-58" w:firstLine="0"/>
        <w:contextualSpacing/>
        <w:jc w:val="both"/>
        <w:rPr>
          <w:rFonts w:ascii="David" w:hAnsi="David"/>
          <w:noProof w:val="0"/>
          <w:sz w:val="26"/>
          <w:szCs w:val="26"/>
        </w:rPr>
      </w:pPr>
      <w:r>
        <w:rPr>
          <w:rFonts w:hint="cs" w:ascii="David" w:hAnsi="David"/>
          <w:noProof w:val="0"/>
          <w:sz w:val="26"/>
          <w:szCs w:val="26"/>
          <w:rtl/>
        </w:rPr>
        <w:t xml:space="preserve">מלשון </w:t>
      </w:r>
      <w:r w:rsidRPr="009F5713" w:rsidR="009F5713">
        <w:rPr>
          <w:rFonts w:ascii="David" w:hAnsi="David"/>
          <w:noProof w:val="0"/>
          <w:sz w:val="26"/>
          <w:szCs w:val="26"/>
          <w:rtl/>
        </w:rPr>
        <w:t xml:space="preserve">התקנה </w:t>
      </w:r>
      <w:r w:rsidR="00EF04B0">
        <w:rPr>
          <w:rFonts w:hint="cs" w:ascii="David" w:hAnsi="David"/>
          <w:noProof w:val="0"/>
          <w:sz w:val="26"/>
          <w:szCs w:val="26"/>
          <w:rtl/>
        </w:rPr>
        <w:t xml:space="preserve">נלמד על קיומה של </w:t>
      </w:r>
      <w:r w:rsidRPr="009F5713" w:rsidR="009F5713">
        <w:rPr>
          <w:rFonts w:ascii="David" w:hAnsi="David"/>
          <w:noProof w:val="0"/>
          <w:sz w:val="26"/>
          <w:szCs w:val="26"/>
          <w:u w:val="single"/>
          <w:rtl/>
        </w:rPr>
        <w:t>חובה</w:t>
      </w:r>
      <w:r w:rsidRPr="009F5713" w:rsidR="009F5713">
        <w:rPr>
          <w:rFonts w:ascii="David" w:hAnsi="David"/>
          <w:noProof w:val="0"/>
          <w:sz w:val="26"/>
          <w:szCs w:val="26"/>
          <w:rtl/>
        </w:rPr>
        <w:t xml:space="preserve"> לפסוק הוצאות בגין כל בקשה ובקשה, אלא אם קיימים טעמים מיוחדים להימנע מכך. השיקולים שעמדו ביסוד התקנת תקנה 53 לתקנות כפי שהם מפורטים בדברי ההסבר לתקנות היו "להבטיח שימוש מושכל בהגשת בקשות" וכן "לשנ</w:t>
      </w:r>
      <w:r>
        <w:rPr>
          <w:rFonts w:hint="cs" w:ascii="David" w:hAnsi="David"/>
          <w:noProof w:val="0"/>
          <w:sz w:val="26"/>
          <w:szCs w:val="26"/>
          <w:rtl/>
        </w:rPr>
        <w:t>ו</w:t>
      </w:r>
      <w:r w:rsidRPr="009F5713" w:rsidR="009F5713">
        <w:rPr>
          <w:rFonts w:ascii="David" w:hAnsi="David"/>
          <w:noProof w:val="0"/>
          <w:sz w:val="26"/>
          <w:szCs w:val="26"/>
          <w:rtl/>
        </w:rPr>
        <w:t>ת את הנוהג הקיים שלפיו בחלק גדול מהמקרים בקשות מוכרעות בלי שבית המשפט פסק הוצאות בגינן, דבר שמסב נזק למי שבקשתו מוצדקת ואף אינו מהווה חסם בפני הגשת בקשות סרק באופן שפוגע במשאב השיפוטי המוגבל ממילא" (עמ' 24).</w:t>
      </w:r>
    </w:p>
    <w:p w:rsidRPr="009F5713" w:rsidR="009F5713" w:rsidP="009F5713" w:rsidRDefault="009F5713">
      <w:pPr>
        <w:spacing w:after="160"/>
        <w:ind w:left="-58"/>
        <w:contextualSpacing/>
        <w:jc w:val="both"/>
        <w:rPr>
          <w:rFonts w:ascii="David" w:hAnsi="David"/>
          <w:noProof w:val="0"/>
          <w:sz w:val="26"/>
          <w:szCs w:val="26"/>
        </w:rPr>
      </w:pPr>
    </w:p>
    <w:p w:rsidRPr="009F5713" w:rsidR="009F5713" w:rsidP="009F5713" w:rsidRDefault="009F5713">
      <w:pPr>
        <w:numPr>
          <w:ilvl w:val="0"/>
          <w:numId w:val="1"/>
        </w:numPr>
        <w:spacing w:after="160" w:line="360" w:lineRule="auto"/>
        <w:ind w:left="-58" w:firstLine="0"/>
        <w:contextualSpacing/>
        <w:jc w:val="both"/>
        <w:rPr>
          <w:rFonts w:ascii="David" w:hAnsi="David"/>
          <w:noProof w:val="0"/>
          <w:sz w:val="26"/>
          <w:szCs w:val="26"/>
        </w:rPr>
      </w:pPr>
      <w:r w:rsidRPr="009F5713">
        <w:rPr>
          <w:rFonts w:ascii="David" w:hAnsi="David"/>
          <w:noProof w:val="0"/>
          <w:sz w:val="26"/>
          <w:szCs w:val="26"/>
          <w:rtl/>
        </w:rPr>
        <w:t>אלא שכאמור, הוראה זו חלה אך ורק על "בקשה", ופסיקת ההוצאות, זולת אם קיימים טעמים מיוחדים שלא לחייב בהוצאות, איננה מחויבת כאשר המדובר ב"פנייה". בהקשר זה נציין כי בכל הנוגע לשינוי מועד דיון, חלה תקנה 175א' (ז) שבה נקבע כי:</w:t>
      </w:r>
    </w:p>
    <w:p w:rsidR="0025142A" w:rsidP="0025142A" w:rsidRDefault="0025142A">
      <w:pPr>
        <w:spacing w:after="160"/>
        <w:ind w:left="720" w:right="851"/>
        <w:jc w:val="both"/>
        <w:rPr>
          <w:rFonts w:ascii="David" w:hAnsi="David"/>
          <w:noProof w:val="0"/>
          <w:sz w:val="26"/>
          <w:szCs w:val="26"/>
          <w:rtl/>
        </w:rPr>
      </w:pPr>
    </w:p>
    <w:p w:rsidRPr="009F5713" w:rsidR="009F5713" w:rsidP="009F5713" w:rsidRDefault="009F5713">
      <w:pPr>
        <w:spacing w:after="160" w:line="259" w:lineRule="auto"/>
        <w:ind w:left="720" w:right="851"/>
        <w:jc w:val="both"/>
        <w:rPr>
          <w:rFonts w:ascii="David" w:hAnsi="David"/>
          <w:noProof w:val="0"/>
          <w:sz w:val="26"/>
          <w:szCs w:val="26"/>
          <w:rtl/>
        </w:rPr>
      </w:pPr>
      <w:r w:rsidRPr="009F5713">
        <w:rPr>
          <w:rFonts w:ascii="David" w:hAnsi="David"/>
          <w:noProof w:val="0"/>
          <w:sz w:val="26"/>
          <w:szCs w:val="26"/>
          <w:rtl/>
        </w:rPr>
        <w:t>"בית המשפט רשאי לחייב את הפונה בהוצאות לטובת בעל הדין שכנגד או לטובת אוצר המדינה אם סבר שהנסיבות מצדיקות זאת."</w:t>
      </w:r>
    </w:p>
    <w:p w:rsidRPr="009F5713" w:rsidR="009F5713" w:rsidP="009F5713" w:rsidRDefault="009F5713">
      <w:pPr>
        <w:spacing w:after="160" w:line="360" w:lineRule="auto"/>
        <w:ind w:left="720"/>
        <w:contextualSpacing/>
        <w:jc w:val="both"/>
        <w:rPr>
          <w:rFonts w:ascii="David" w:hAnsi="David"/>
          <w:noProof w:val="0"/>
          <w:sz w:val="26"/>
          <w:szCs w:val="26"/>
        </w:rPr>
      </w:pPr>
    </w:p>
    <w:p w:rsidRPr="009F5713" w:rsidR="009F5713" w:rsidP="00F96FD2" w:rsidRDefault="009F5713">
      <w:pPr>
        <w:numPr>
          <w:ilvl w:val="0"/>
          <w:numId w:val="1"/>
        </w:numPr>
        <w:spacing w:after="160" w:line="360" w:lineRule="auto"/>
        <w:ind w:left="-58" w:firstLine="0"/>
        <w:contextualSpacing/>
        <w:jc w:val="both"/>
        <w:rPr>
          <w:rFonts w:ascii="David" w:hAnsi="David"/>
          <w:noProof w:val="0"/>
          <w:sz w:val="26"/>
          <w:szCs w:val="26"/>
        </w:rPr>
      </w:pPr>
      <w:r w:rsidRPr="009F5713">
        <w:rPr>
          <w:rFonts w:ascii="David" w:hAnsi="David"/>
          <w:noProof w:val="0"/>
          <w:sz w:val="26"/>
          <w:szCs w:val="26"/>
          <w:rtl/>
        </w:rPr>
        <w:t>הוראה רלוונטית אחרת היא זו שבתקנה 156 לתקנות החדשות, שעניינה הארכת הליך שלא לצורך:</w:t>
      </w:r>
    </w:p>
    <w:p w:rsidR="0025142A" w:rsidP="009F5713" w:rsidRDefault="0025142A">
      <w:pPr>
        <w:spacing w:after="160" w:line="259" w:lineRule="auto"/>
        <w:ind w:left="720" w:right="851"/>
        <w:jc w:val="both"/>
        <w:rPr>
          <w:rFonts w:ascii="David" w:hAnsi="David"/>
          <w:noProof w:val="0"/>
          <w:sz w:val="26"/>
          <w:szCs w:val="26"/>
          <w:rtl/>
        </w:rPr>
      </w:pPr>
    </w:p>
    <w:p w:rsidRPr="009F5713" w:rsidR="009F5713" w:rsidP="009F5713" w:rsidRDefault="009F5713">
      <w:pPr>
        <w:spacing w:after="160" w:line="259" w:lineRule="auto"/>
        <w:ind w:left="720" w:right="851"/>
        <w:jc w:val="both"/>
        <w:rPr>
          <w:rFonts w:ascii="David" w:hAnsi="David"/>
          <w:noProof w:val="0"/>
          <w:sz w:val="26"/>
          <w:szCs w:val="26"/>
          <w:rtl/>
        </w:rPr>
      </w:pPr>
      <w:r w:rsidRPr="009F5713">
        <w:rPr>
          <w:rFonts w:ascii="David" w:hAnsi="David"/>
          <w:noProof w:val="0"/>
          <w:sz w:val="26"/>
          <w:szCs w:val="26"/>
          <w:rtl/>
        </w:rPr>
        <w:t>"סבר בית המשפט כי בעל דין האריך את הדיון בכל הליך שלא לצורך, באמצעות טענות סרק או בכל דרך אחרת, רשאי הוא, באותו הליך או בפסק הדין, ובלא קשר עם תוצאות המשפט, להטיל עליו את הוצאות ההליך בשיעור שימצא לנכון בנסיבות העניין, לטובת בעל הדין שכנגד או לטובת אוצר המדינה."</w:t>
      </w:r>
    </w:p>
    <w:p w:rsidRPr="009F5713" w:rsidR="009F5713" w:rsidP="009F5713" w:rsidRDefault="009F5713">
      <w:pPr>
        <w:spacing w:after="160" w:line="360" w:lineRule="auto"/>
        <w:ind w:left="-58"/>
        <w:contextualSpacing/>
        <w:jc w:val="both"/>
        <w:rPr>
          <w:rFonts w:ascii="David" w:hAnsi="David"/>
          <w:noProof w:val="0"/>
          <w:sz w:val="26"/>
          <w:szCs w:val="26"/>
        </w:rPr>
      </w:pPr>
    </w:p>
    <w:p w:rsidRPr="009F5713" w:rsidR="009F5713" w:rsidP="009F5713" w:rsidRDefault="009F5713">
      <w:pPr>
        <w:numPr>
          <w:ilvl w:val="0"/>
          <w:numId w:val="1"/>
        </w:numPr>
        <w:spacing w:after="160" w:line="360" w:lineRule="auto"/>
        <w:ind w:left="-58" w:firstLine="0"/>
        <w:contextualSpacing/>
        <w:jc w:val="both"/>
        <w:rPr>
          <w:rFonts w:ascii="David" w:hAnsi="David"/>
          <w:noProof w:val="0"/>
          <w:sz w:val="26"/>
          <w:szCs w:val="26"/>
        </w:rPr>
      </w:pPr>
      <w:r w:rsidRPr="009F5713">
        <w:rPr>
          <w:rFonts w:ascii="David" w:hAnsi="David"/>
          <w:noProof w:val="0"/>
          <w:sz w:val="26"/>
          <w:szCs w:val="26"/>
          <w:rtl/>
        </w:rPr>
        <w:t>הנה כי-כן, ניתן אפוא לסכם את הוראות התקנות החדשות בכל הנוגע לפסיקת הוצאות בגין פניות כך:</w:t>
      </w:r>
    </w:p>
    <w:p w:rsidRPr="009F5713" w:rsidR="009F5713" w:rsidP="009F5713" w:rsidRDefault="009F5713">
      <w:pPr>
        <w:spacing w:after="160" w:line="360" w:lineRule="auto"/>
        <w:ind w:left="-58"/>
        <w:contextualSpacing/>
        <w:jc w:val="both"/>
        <w:rPr>
          <w:rFonts w:ascii="David" w:hAnsi="David"/>
          <w:noProof w:val="0"/>
          <w:sz w:val="26"/>
          <w:szCs w:val="26"/>
          <w:rtl/>
        </w:rPr>
      </w:pPr>
    </w:p>
    <w:p w:rsidRPr="009F5713" w:rsidR="009F5713" w:rsidP="009F5713" w:rsidRDefault="009F5713">
      <w:pPr>
        <w:numPr>
          <w:ilvl w:val="0"/>
          <w:numId w:val="2"/>
        </w:numPr>
        <w:spacing w:after="160" w:line="360" w:lineRule="auto"/>
        <w:contextualSpacing/>
        <w:jc w:val="both"/>
        <w:rPr>
          <w:rFonts w:ascii="David" w:hAnsi="David"/>
          <w:noProof w:val="0"/>
          <w:sz w:val="26"/>
          <w:szCs w:val="26"/>
        </w:rPr>
      </w:pPr>
      <w:r w:rsidRPr="009F5713">
        <w:rPr>
          <w:rFonts w:ascii="David" w:hAnsi="David"/>
          <w:noProof w:val="0"/>
          <w:sz w:val="26"/>
          <w:szCs w:val="26"/>
          <w:rtl/>
        </w:rPr>
        <w:t>החובה שבתקנה 53 לתקנות לפסיקת הוצאות משפט אינה חלה על פניות, ובית המשפט אינו מחויב בפסיקת הוצאות משפט כאשר הוא מתבקש להאריך מועד זה או אחר. בית המשפט יכול שלא לפסוק הוצאות או לדחות את פסיקתן לשלב מאוחר יותר או לסוף ההליך.</w:t>
      </w:r>
    </w:p>
    <w:p w:rsidRPr="009F5713" w:rsidR="009F5713" w:rsidP="009F5713" w:rsidRDefault="009F5713">
      <w:pPr>
        <w:spacing w:after="160"/>
        <w:ind w:left="1080"/>
        <w:contextualSpacing/>
        <w:jc w:val="both"/>
        <w:rPr>
          <w:rFonts w:ascii="David" w:hAnsi="David"/>
          <w:noProof w:val="0"/>
          <w:sz w:val="26"/>
          <w:szCs w:val="26"/>
        </w:rPr>
      </w:pPr>
    </w:p>
    <w:p w:rsidRPr="009F5713" w:rsidR="009F5713" w:rsidP="009F5713" w:rsidRDefault="009F5713">
      <w:pPr>
        <w:numPr>
          <w:ilvl w:val="0"/>
          <w:numId w:val="2"/>
        </w:numPr>
        <w:spacing w:after="160" w:line="360" w:lineRule="auto"/>
        <w:contextualSpacing/>
        <w:jc w:val="both"/>
        <w:rPr>
          <w:rFonts w:ascii="David" w:hAnsi="David"/>
          <w:noProof w:val="0"/>
          <w:sz w:val="26"/>
          <w:szCs w:val="26"/>
        </w:rPr>
      </w:pPr>
      <w:r w:rsidRPr="009F5713">
        <w:rPr>
          <w:rFonts w:ascii="David" w:hAnsi="David"/>
          <w:noProof w:val="0"/>
          <w:sz w:val="26"/>
          <w:szCs w:val="26"/>
          <w:rtl/>
        </w:rPr>
        <w:t xml:space="preserve">ככל שבית המשפט מוצא כי המדובר בהארכת ההליך שלא לצורך הוא מוסמך לפסוק הוצאות מכוחה של תקנה 156 לתקנות. </w:t>
      </w:r>
    </w:p>
    <w:p w:rsidRPr="009F5713" w:rsidR="009F5713" w:rsidP="009F5713" w:rsidRDefault="009F5713">
      <w:pPr>
        <w:spacing w:after="160" w:line="259" w:lineRule="auto"/>
        <w:ind w:left="720"/>
        <w:contextualSpacing/>
        <w:rPr>
          <w:rFonts w:ascii="David" w:hAnsi="David"/>
          <w:noProof w:val="0"/>
          <w:sz w:val="26"/>
          <w:szCs w:val="26"/>
          <w:rtl/>
        </w:rPr>
      </w:pPr>
    </w:p>
    <w:p w:rsidRPr="009F5713" w:rsidR="009F5713" w:rsidP="009F5713" w:rsidRDefault="009F5713">
      <w:pPr>
        <w:numPr>
          <w:ilvl w:val="0"/>
          <w:numId w:val="2"/>
        </w:numPr>
        <w:spacing w:after="160" w:line="360" w:lineRule="auto"/>
        <w:contextualSpacing/>
        <w:jc w:val="both"/>
        <w:rPr>
          <w:rFonts w:ascii="David" w:hAnsi="David"/>
          <w:noProof w:val="0"/>
          <w:sz w:val="26"/>
          <w:szCs w:val="26"/>
        </w:rPr>
      </w:pPr>
      <w:r w:rsidRPr="009F5713">
        <w:rPr>
          <w:rFonts w:ascii="David" w:hAnsi="David"/>
          <w:noProof w:val="0"/>
          <w:sz w:val="26"/>
          <w:szCs w:val="26"/>
          <w:rtl/>
        </w:rPr>
        <w:t>כאשר המדובר בפנייה לשינוי מועד דיון – בית המשפט רשאי לפסוק הוצאות בהתאם לתקנה 175א' (ז') לתקנות.</w:t>
      </w:r>
    </w:p>
    <w:p w:rsidRPr="009F5713" w:rsidR="009F5713" w:rsidP="009F5713" w:rsidRDefault="009F5713">
      <w:pPr>
        <w:spacing w:after="160" w:line="259" w:lineRule="auto"/>
        <w:ind w:left="720"/>
        <w:contextualSpacing/>
        <w:rPr>
          <w:rFonts w:ascii="David" w:hAnsi="David"/>
          <w:noProof w:val="0"/>
          <w:sz w:val="26"/>
          <w:szCs w:val="26"/>
          <w:rtl/>
        </w:rPr>
      </w:pPr>
    </w:p>
    <w:p w:rsidRPr="009F5713" w:rsidR="009F5713" w:rsidP="009F5713" w:rsidRDefault="009F5713">
      <w:pPr>
        <w:numPr>
          <w:ilvl w:val="0"/>
          <w:numId w:val="1"/>
        </w:numPr>
        <w:spacing w:after="160" w:line="360" w:lineRule="auto"/>
        <w:ind w:left="-58" w:firstLine="0"/>
        <w:contextualSpacing/>
        <w:jc w:val="both"/>
        <w:rPr>
          <w:rFonts w:ascii="David" w:hAnsi="David"/>
          <w:noProof w:val="0"/>
          <w:sz w:val="26"/>
          <w:szCs w:val="26"/>
        </w:rPr>
      </w:pPr>
      <w:r w:rsidRPr="009F5713">
        <w:rPr>
          <w:rFonts w:ascii="David" w:hAnsi="David"/>
          <w:noProof w:val="0"/>
          <w:sz w:val="26"/>
          <w:szCs w:val="26"/>
          <w:rtl/>
        </w:rPr>
        <w:t>מובן שבית המשפט יפעיל את שיקול דעתו בכל מקרה ומקרה, תוך התייחסות, בין היתר, לעקרונות היסוד (ר' תקנה 5א' לתקנות החדשות).</w:t>
      </w:r>
    </w:p>
    <w:p w:rsidRPr="009F5713" w:rsidR="009F5713" w:rsidP="009F5713" w:rsidRDefault="009F5713">
      <w:pPr>
        <w:spacing w:after="160"/>
        <w:ind w:left="-58"/>
        <w:contextualSpacing/>
        <w:jc w:val="both"/>
        <w:rPr>
          <w:rFonts w:ascii="David" w:hAnsi="David"/>
          <w:noProof w:val="0"/>
          <w:sz w:val="26"/>
          <w:szCs w:val="26"/>
        </w:rPr>
      </w:pPr>
    </w:p>
    <w:p w:rsidRPr="009F5713" w:rsidR="009F5713" w:rsidP="009F5713" w:rsidRDefault="009F5713">
      <w:pPr>
        <w:numPr>
          <w:ilvl w:val="0"/>
          <w:numId w:val="1"/>
        </w:numPr>
        <w:spacing w:after="160" w:line="360" w:lineRule="auto"/>
        <w:ind w:left="-58" w:firstLine="0"/>
        <w:contextualSpacing/>
        <w:jc w:val="both"/>
        <w:rPr>
          <w:rFonts w:ascii="David" w:hAnsi="David"/>
          <w:noProof w:val="0"/>
          <w:sz w:val="26"/>
          <w:szCs w:val="26"/>
        </w:rPr>
      </w:pPr>
      <w:r w:rsidRPr="009F5713">
        <w:rPr>
          <w:rFonts w:ascii="David" w:hAnsi="David"/>
          <w:noProof w:val="0"/>
          <w:sz w:val="26"/>
          <w:szCs w:val="26"/>
          <w:rtl/>
        </w:rPr>
        <w:t>בענייננו, נראה על פני הדברים כי יש לשקול את השיקולים הבאים:</w:t>
      </w:r>
    </w:p>
    <w:p w:rsidRPr="009F5713" w:rsidR="009F5713" w:rsidP="009F5713" w:rsidRDefault="009F5713">
      <w:pPr>
        <w:spacing w:after="160" w:line="259" w:lineRule="auto"/>
        <w:ind w:left="720"/>
        <w:contextualSpacing/>
        <w:rPr>
          <w:rFonts w:ascii="David" w:hAnsi="David"/>
          <w:noProof w:val="0"/>
          <w:sz w:val="26"/>
          <w:szCs w:val="26"/>
          <w:rtl/>
        </w:rPr>
      </w:pPr>
    </w:p>
    <w:p w:rsidRPr="009F5713" w:rsidR="009F5713" w:rsidP="009F5713" w:rsidRDefault="009F5713">
      <w:pPr>
        <w:spacing w:after="160" w:line="360" w:lineRule="auto"/>
        <w:ind w:left="-58" w:firstLine="778"/>
        <w:contextualSpacing/>
        <w:jc w:val="both"/>
        <w:rPr>
          <w:rFonts w:ascii="David" w:hAnsi="David"/>
          <w:noProof w:val="0"/>
          <w:sz w:val="26"/>
          <w:szCs w:val="26"/>
          <w:rtl/>
        </w:rPr>
      </w:pPr>
      <w:r w:rsidRPr="009F5713">
        <w:rPr>
          <w:rFonts w:ascii="David" w:hAnsi="David"/>
          <w:noProof w:val="0"/>
          <w:sz w:val="26"/>
          <w:szCs w:val="26"/>
          <w:rtl/>
        </w:rPr>
        <w:t>ראשית, המדובר בהארכת מועד קצרה לפרק זמן של ארבעה ימים, שלא הייתה אמורה להביא בהכרח לדחיית המועד, ולא ניתן לראותה כהארכת ההליך שלא לצורך, וזאת בין היתר בשים לב למורכבות ההליך;</w:t>
      </w:r>
    </w:p>
    <w:p w:rsidRPr="009F5713" w:rsidR="009F5713" w:rsidP="009F5713" w:rsidRDefault="009F5713">
      <w:pPr>
        <w:spacing w:after="160" w:line="360" w:lineRule="auto"/>
        <w:ind w:left="-58" w:firstLine="778"/>
        <w:contextualSpacing/>
        <w:jc w:val="both"/>
        <w:rPr>
          <w:rFonts w:ascii="David" w:hAnsi="David"/>
          <w:noProof w:val="0"/>
          <w:sz w:val="26"/>
          <w:szCs w:val="26"/>
          <w:rtl/>
        </w:rPr>
      </w:pPr>
    </w:p>
    <w:p w:rsidRPr="009F5713" w:rsidR="009F5713" w:rsidP="009F5713" w:rsidRDefault="009F5713">
      <w:pPr>
        <w:spacing w:after="160" w:line="360" w:lineRule="auto"/>
        <w:ind w:left="-58" w:firstLine="778"/>
        <w:contextualSpacing/>
        <w:jc w:val="both"/>
        <w:rPr>
          <w:rFonts w:ascii="David" w:hAnsi="David"/>
          <w:noProof w:val="0"/>
          <w:sz w:val="26"/>
          <w:szCs w:val="26"/>
          <w:rtl/>
        </w:rPr>
      </w:pPr>
      <w:r w:rsidRPr="009F5713">
        <w:rPr>
          <w:rFonts w:ascii="David" w:hAnsi="David"/>
          <w:noProof w:val="0"/>
          <w:sz w:val="26"/>
          <w:szCs w:val="26"/>
          <w:rtl/>
        </w:rPr>
        <w:t>שנית, נפלו מלפני התובע שני מחדלים דיוניים: האחד – הגשת הפנייה לאחר שהמועד כבר חלף; השני – ההימנעות מהבאת עמדת הצד שכנגד לפני בית המשפט. יש במחדלים אלה כדי להוות שיקול התומך בפסיקת הוצאות;</w:t>
      </w:r>
    </w:p>
    <w:p w:rsidRPr="009F5713" w:rsidR="009F5713" w:rsidP="009F5713" w:rsidRDefault="009F5713">
      <w:pPr>
        <w:spacing w:after="160" w:line="360" w:lineRule="auto"/>
        <w:ind w:left="-58" w:firstLine="778"/>
        <w:contextualSpacing/>
        <w:jc w:val="both"/>
        <w:rPr>
          <w:rFonts w:ascii="David" w:hAnsi="David"/>
          <w:noProof w:val="0"/>
          <w:sz w:val="26"/>
          <w:szCs w:val="26"/>
          <w:rtl/>
        </w:rPr>
      </w:pPr>
    </w:p>
    <w:p w:rsidRPr="009F5713" w:rsidR="009F5713" w:rsidP="009F5713" w:rsidRDefault="009F5713">
      <w:pPr>
        <w:spacing w:after="160" w:line="360" w:lineRule="auto"/>
        <w:ind w:left="-58" w:firstLine="778"/>
        <w:contextualSpacing/>
        <w:jc w:val="both"/>
        <w:rPr>
          <w:rFonts w:ascii="David" w:hAnsi="David"/>
          <w:noProof w:val="0"/>
          <w:sz w:val="26"/>
          <w:szCs w:val="26"/>
          <w:rtl/>
        </w:rPr>
      </w:pPr>
      <w:r w:rsidRPr="009F5713">
        <w:rPr>
          <w:rFonts w:ascii="David" w:hAnsi="David"/>
          <w:noProof w:val="0"/>
          <w:sz w:val="26"/>
          <w:szCs w:val="26"/>
          <w:rtl/>
        </w:rPr>
        <w:t>שלישית, הנתבעת ביקשה וקיבלה מספר הארכות מועד לאורך ניהול ההליך. בגין אותן בקשות הנתבעת לא חויבה בהוצאות משפט לטובת התובע (למעט בכל הנוגע לתיק המוצגים שחייב קביעת ישיבת הוכחות נוספת והחזרת עדה לדוכן העדים).</w:t>
      </w:r>
    </w:p>
    <w:p w:rsidRPr="009F5713" w:rsidR="009F5713" w:rsidP="009F5713" w:rsidRDefault="009F5713">
      <w:pPr>
        <w:spacing w:after="160"/>
        <w:ind w:left="-58"/>
        <w:contextualSpacing/>
        <w:jc w:val="both"/>
        <w:rPr>
          <w:rFonts w:ascii="David" w:hAnsi="David"/>
          <w:noProof w:val="0"/>
          <w:sz w:val="26"/>
          <w:szCs w:val="26"/>
        </w:rPr>
      </w:pPr>
    </w:p>
    <w:p w:rsidRPr="009F5713" w:rsidR="009F5713" w:rsidP="009F5713" w:rsidRDefault="009F5713">
      <w:pPr>
        <w:numPr>
          <w:ilvl w:val="0"/>
          <w:numId w:val="1"/>
        </w:numPr>
        <w:spacing w:after="160" w:line="360" w:lineRule="auto"/>
        <w:ind w:left="-58" w:firstLine="0"/>
        <w:contextualSpacing/>
        <w:jc w:val="both"/>
        <w:rPr>
          <w:rFonts w:ascii="David" w:hAnsi="David"/>
          <w:noProof w:val="0"/>
          <w:sz w:val="26"/>
          <w:szCs w:val="26"/>
        </w:rPr>
      </w:pPr>
      <w:r w:rsidRPr="009F5713">
        <w:rPr>
          <w:rFonts w:ascii="David" w:hAnsi="David"/>
          <w:noProof w:val="0"/>
          <w:sz w:val="26"/>
          <w:szCs w:val="26"/>
          <w:rtl/>
        </w:rPr>
        <w:t>באיזון בין השיקולים השונים, החלטתי, בעיקר נוכח הגישה שננקטה כלפי הנתבעת בבקשות שהגישה להארכת מועד טרם כניסת התקנות החדשות לתוקף, להימנע מחיוב מידי בהוצאות ולהותיר את שאלת החיוב בהוצאות לסוף ההליך, אף שנראה כי חיוב מידי בהוצאות מתבקש נוכח ההתנהלות הדיונית כפי שתוארה לעיל.</w:t>
      </w:r>
    </w:p>
    <w:p w:rsidRPr="009F5713" w:rsidR="009F5713" w:rsidP="009F5713" w:rsidRDefault="009F5713">
      <w:pPr>
        <w:spacing w:after="160" w:line="360" w:lineRule="auto"/>
        <w:ind w:left="-58"/>
        <w:contextualSpacing/>
        <w:jc w:val="both"/>
        <w:rPr>
          <w:rFonts w:ascii="David" w:hAnsi="David"/>
          <w:noProof w:val="0"/>
          <w:sz w:val="26"/>
          <w:szCs w:val="26"/>
        </w:rPr>
      </w:pPr>
    </w:p>
    <w:p w:rsidRPr="009F5713" w:rsidR="009F5713" w:rsidP="009F5713" w:rsidRDefault="009F5713">
      <w:pPr>
        <w:spacing w:after="160" w:line="360" w:lineRule="auto"/>
        <w:ind w:left="-58"/>
        <w:contextualSpacing/>
        <w:jc w:val="both"/>
        <w:rPr>
          <w:rFonts w:ascii="David" w:hAnsi="David"/>
          <w:b/>
          <w:bCs/>
          <w:noProof w:val="0"/>
          <w:sz w:val="26"/>
          <w:szCs w:val="26"/>
          <w:u w:val="single"/>
          <w:rtl/>
        </w:rPr>
      </w:pPr>
      <w:r w:rsidRPr="009F5713">
        <w:rPr>
          <w:rFonts w:ascii="David" w:hAnsi="David"/>
          <w:b/>
          <w:bCs/>
          <w:noProof w:val="0"/>
          <w:sz w:val="26"/>
          <w:szCs w:val="26"/>
          <w:u w:val="single"/>
          <w:rtl/>
        </w:rPr>
        <w:t>סיכום</w:t>
      </w:r>
    </w:p>
    <w:p w:rsidRPr="009F5713" w:rsidR="009F5713" w:rsidP="009F5713" w:rsidRDefault="009F5713">
      <w:pPr>
        <w:numPr>
          <w:ilvl w:val="0"/>
          <w:numId w:val="1"/>
        </w:numPr>
        <w:spacing w:after="160" w:line="360" w:lineRule="auto"/>
        <w:ind w:left="-58" w:firstLine="0"/>
        <w:contextualSpacing/>
        <w:jc w:val="both"/>
        <w:rPr>
          <w:rFonts w:ascii="David" w:hAnsi="David"/>
          <w:noProof w:val="0"/>
          <w:sz w:val="26"/>
          <w:szCs w:val="26"/>
        </w:rPr>
      </w:pPr>
      <w:r w:rsidRPr="009F5713">
        <w:rPr>
          <w:rFonts w:ascii="David" w:hAnsi="David"/>
          <w:noProof w:val="0"/>
          <w:sz w:val="26"/>
          <w:szCs w:val="26"/>
          <w:rtl/>
        </w:rPr>
        <w:t>המועד להגשת עיקרי הטיעון מטעם התובע מוארך עד למועד הגשתם – 11.3.2021. הנתבעת תגיש את עיקרי הטיעון מטעמה עד ליום 22.4.2021. המועד לשמיעת הסיכומים יהיה ביום 4.5.2021 בשעה 12:00.</w:t>
      </w:r>
    </w:p>
    <w:p w:rsidRPr="009F5713" w:rsidR="009F5713" w:rsidP="009F5713" w:rsidRDefault="009F5713">
      <w:pPr>
        <w:spacing w:after="160" w:line="259" w:lineRule="auto"/>
        <w:ind w:left="720"/>
        <w:contextualSpacing/>
        <w:rPr>
          <w:rFonts w:ascii="David" w:hAnsi="David"/>
          <w:noProof w:val="0"/>
          <w:sz w:val="26"/>
          <w:szCs w:val="26"/>
          <w:rtl/>
        </w:rPr>
      </w:pPr>
    </w:p>
    <w:p w:rsidRPr="009F5713" w:rsidR="009F5713" w:rsidP="00F96FD2" w:rsidRDefault="009F5713">
      <w:pPr>
        <w:numPr>
          <w:ilvl w:val="0"/>
          <w:numId w:val="1"/>
        </w:numPr>
        <w:spacing w:after="160" w:line="360" w:lineRule="auto"/>
        <w:ind w:left="-58" w:firstLine="0"/>
        <w:contextualSpacing/>
        <w:jc w:val="both"/>
        <w:rPr>
          <w:rFonts w:ascii="David" w:hAnsi="David"/>
          <w:noProof w:val="0"/>
          <w:sz w:val="26"/>
          <w:szCs w:val="26"/>
        </w:rPr>
      </w:pPr>
      <w:r w:rsidRPr="009F5713">
        <w:rPr>
          <w:rFonts w:ascii="David" w:hAnsi="David"/>
          <w:noProof w:val="0"/>
          <w:sz w:val="26"/>
          <w:szCs w:val="26"/>
          <w:rtl/>
        </w:rPr>
        <w:t>כאמור, לא ראיתי מקום לפסיקת הוצאות משפט לזכות מי מהצדדים בגין הארכת המועד והליקויים האחרים</w:t>
      </w:r>
      <w:r w:rsidR="00F96FD2">
        <w:rPr>
          <w:rFonts w:hint="cs" w:ascii="David" w:hAnsi="David"/>
          <w:noProof w:val="0"/>
          <w:sz w:val="26"/>
          <w:szCs w:val="26"/>
          <w:rtl/>
        </w:rPr>
        <w:t xml:space="preserve"> בשלב זה ואתייחס לכך בעת מתן פסק הדין</w:t>
      </w:r>
      <w:r w:rsidRPr="009F5713">
        <w:rPr>
          <w:rFonts w:ascii="David" w:hAnsi="David"/>
          <w:noProof w:val="0"/>
          <w:sz w:val="26"/>
          <w:szCs w:val="26"/>
          <w:rtl/>
        </w:rPr>
        <w:t>.</w:t>
      </w:r>
    </w:p>
    <w:p w:rsidRPr="009F5713" w:rsidR="009F5713" w:rsidP="009F5713" w:rsidRDefault="009F5713">
      <w:pPr>
        <w:spacing w:after="160" w:line="259" w:lineRule="auto"/>
        <w:ind w:left="720"/>
        <w:contextualSpacing/>
        <w:rPr>
          <w:rFonts w:ascii="David" w:hAnsi="David"/>
          <w:noProof w:val="0"/>
          <w:sz w:val="26"/>
          <w:szCs w:val="26"/>
          <w:rtl/>
        </w:rPr>
      </w:pPr>
    </w:p>
    <w:p w:rsidRPr="00661A5D" w:rsidR="00694556" w:rsidRDefault="0043502B">
      <w:pPr>
        <w:spacing w:line="360" w:lineRule="auto"/>
        <w:jc w:val="both"/>
        <w:rPr>
          <w:rFonts w:ascii="Arial" w:hAnsi="Arial"/>
          <w:noProof w:val="0"/>
          <w:sz w:val="26"/>
          <w:szCs w:val="26"/>
          <w:rtl/>
        </w:rPr>
      </w:pPr>
      <w:r w:rsidRPr="00661A5D">
        <w:rPr>
          <w:rFonts w:ascii="Arial" w:hAnsi="Arial"/>
          <w:noProof w:val="0"/>
          <w:sz w:val="26"/>
          <w:szCs w:val="26"/>
          <w:rtl/>
        </w:rPr>
        <w:t>נית</w:t>
      </w:r>
      <w:r w:rsidRPr="00661A5D">
        <w:rPr>
          <w:rFonts w:hint="cs" w:ascii="Arial" w:hAnsi="Arial"/>
          <w:noProof w:val="0"/>
          <w:sz w:val="26"/>
          <w:szCs w:val="26"/>
          <w:rtl/>
        </w:rPr>
        <w:t>נה</w:t>
      </w:r>
      <w:r w:rsidRPr="00661A5D" w:rsidR="00005C8B">
        <w:rPr>
          <w:rFonts w:ascii="Arial" w:hAnsi="Arial"/>
          <w:noProof w:val="0"/>
          <w:sz w:val="26"/>
          <w:szCs w:val="26"/>
          <w:rtl/>
        </w:rPr>
        <w:t xml:space="preserve"> היום, </w:t>
      </w:r>
      <w:sdt>
        <w:sdtPr>
          <w:rPr>
            <w:sz w:val="26"/>
            <w:szCs w:val="26"/>
            <w:rtl/>
          </w:rPr>
          <w:alias w:val="1455"/>
          <w:tag w:val="1455"/>
          <w:id w:val="-1563251252"/>
          <w:text w:multiLine="1"/>
        </w:sdtPr>
        <w:sdtEndPr/>
        <w:sdtContent>
          <w:r>
            <w:rPr>
              <w:rFonts w:ascii="Arial" w:hAnsi="Arial"/>
              <w:noProof w:val="0"/>
              <w:sz w:val="26"/>
              <w:szCs w:val="26"/>
              <w:rtl/>
            </w:rPr>
            <w:t>א' ניסן תשפ"א</w:t>
          </w:r>
        </w:sdtContent>
      </w:sdt>
      <w:r w:rsidRPr="00661A5D" w:rsidR="00005C8B">
        <w:rPr>
          <w:rFonts w:ascii="Arial" w:hAnsi="Arial"/>
          <w:noProof w:val="0"/>
          <w:sz w:val="26"/>
          <w:szCs w:val="26"/>
          <w:rtl/>
        </w:rPr>
        <w:t xml:space="preserve">, </w:t>
      </w:r>
      <w:sdt>
        <w:sdtPr>
          <w:rPr>
            <w:sz w:val="26"/>
            <w:szCs w:val="26"/>
            <w:rtl/>
          </w:rPr>
          <w:alias w:val="1456"/>
          <w:tag w:val="1456"/>
          <w:id w:val="-1019148630"/>
          <w:text w:multiLine="1"/>
        </w:sdtPr>
        <w:sdtEndPr/>
        <w:sdtContent>
          <w:r>
            <w:rPr>
              <w:rFonts w:ascii="Arial" w:hAnsi="Arial"/>
              <w:noProof w:val="0"/>
              <w:sz w:val="26"/>
              <w:szCs w:val="26"/>
              <w:rtl/>
            </w:rPr>
            <w:t>14 מרץ 2021</w:t>
          </w:r>
        </w:sdtContent>
      </w:sdt>
      <w:r w:rsidRPr="00661A5D" w:rsidR="00005C8B">
        <w:rPr>
          <w:rFonts w:ascii="Arial" w:hAnsi="Arial"/>
          <w:noProof w:val="0"/>
          <w:sz w:val="26"/>
          <w:szCs w:val="26"/>
          <w:rtl/>
        </w:rPr>
        <w:t>, בהעדר הצדדים.</w:t>
      </w:r>
    </w:p>
    <w:p w:rsidRPr="00661A5D" w:rsidR="00694556" w:rsidRDefault="00694556">
      <w:pPr>
        <w:spacing w:line="360" w:lineRule="auto"/>
        <w:jc w:val="both"/>
        <w:rPr>
          <w:rFonts w:ascii="Arial" w:hAnsi="Arial"/>
          <w:noProof w:val="0"/>
          <w:sz w:val="26"/>
          <w:szCs w:val="26"/>
          <w:rtl/>
        </w:rPr>
      </w:pPr>
    </w:p>
    <w:p w:rsidR="00694556" w:rsidP="00FD1419" w:rsidRDefault="00310D49">
      <w:pPr>
        <w:spacing w:line="360" w:lineRule="auto"/>
        <w:ind w:left="3600" w:firstLine="720"/>
        <w:jc w:val="center"/>
        <w:rPr>
          <w:rFonts w:ascii="Arial" w:hAnsi="Arial"/>
          <w:noProof w:val="0"/>
          <w:rtl/>
        </w:rPr>
      </w:pPr>
      <w:sdt>
        <w:sdtPr>
          <w:alias w:val="MergeField"/>
          <w:tag w:val="1237"/>
        </w:sdtPr>
        <w:sdtContent>
          <w:p>
            <w:r>
              <w:drawing>
                <wp:inline distT="0" distB="0" distL="0" distR="0" wp14:editId="50D07946">
                  <wp:extent cx="1076325" cy="885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2bb6e80ace1142a9" cstate="print">
                            <a:extLst>
                              <a:ext uri="{28A0092B-C50C-407E-A947-70E740481C1C}"/>
                            </a:extLst>
                          </a:blip>
                          <a:stretch>
                            <a:fillRect/>
                          </a:stretch>
                        </pic:blipFill>
                        <pic:spPr>
                          <a:xfrm>
                            <a:off x="0" y="0"/>
                            <a:ext cx="1076325" cy="885825"/>
                          </a:xfrm>
                          <a:prstGeom prst="rect">
                            <a:avLst/>
                          </a:prstGeom>
                        </pic:spPr>
                      </pic:pic>
                    </a:graphicData>
                  </a:graphic>
                </wp:inline>
              </w:drawing>
            </w:r>
          </w:p>
        </w:sdtContent>
      </w:sdt>
    </w:p>
    <w:sectPr w:rsidR="00694556" w:rsidSect="00F96FD2">
      <w:headerReference w:type="default" r:id="rId9"/>
      <w:footerReference w:type="default" r:id="rId10"/>
      <w:pgSz w:w="11907" w:h="16840" w:code="9"/>
      <w:pgMar w:top="962" w:right="1701" w:bottom="1702" w:left="1418" w:header="907"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p w:rsidR="00DE008C" w:rsidRDefault="00DE008C"/>
  </w:endnote>
  <w:endnote w:type="continuationSeparator" w:id="0">
    <w:p w:rsidR="00694556" w:rsidRDefault="00005C8B">
      <w:r>
        <w:continuationSeparator/>
      </w:r>
    </w:p>
    <w:p w:rsidR="00DE008C" w:rsidRDefault="00DE00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4E6E3C" w:rsidR="00694556" w:rsidRDefault="001C645C">
    <w:pPr>
      <w:pStyle w:val="a4"/>
      <w:jc w:val="center"/>
      <w:rPr>
        <w:rStyle w:val="ab"/>
      </w:rPr>
    </w:pPr>
    <w:r w:rsidRPr="004E6E3C">
      <w:rPr>
        <w:rStyle w:val="ab"/>
        <w:rFonts w:cs="Times New Roman"/>
      </w:rPr>
      <w:fldChar w:fldCharType="begin"/>
    </w:r>
    <w:r w:rsidRPr="004E6E3C" w:rsidR="00005C8B">
      <w:rPr>
        <w:rStyle w:val="ab"/>
        <w:rFonts w:cs="Times New Roman"/>
      </w:rPr>
      <w:instrText xml:space="preserve"> PAGE </w:instrText>
    </w:r>
    <w:r w:rsidRPr="004E6E3C">
      <w:rPr>
        <w:rStyle w:val="ab"/>
        <w:rFonts w:cs="Times New Roman"/>
      </w:rPr>
      <w:fldChar w:fldCharType="separate"/>
    </w:r>
    <w:r w:rsidR="00310D49">
      <w:rPr>
        <w:rStyle w:val="ab"/>
        <w:rFonts w:cs="Times New Roman"/>
        <w:rtl/>
      </w:rPr>
      <w:t>3</w:t>
    </w:r>
    <w:r w:rsidRPr="004E6E3C">
      <w:rPr>
        <w:rStyle w:val="ab"/>
        <w:rFonts w:cs="Times New Roman"/>
      </w:rPr>
      <w:fldChar w:fldCharType="end"/>
    </w:r>
    <w:r w:rsidRPr="004E6E3C" w:rsidR="00005C8B">
      <w:rPr>
        <w:rStyle w:val="ab"/>
        <w:rFonts w:hint="cs"/>
        <w:rtl/>
      </w:rPr>
      <w:t xml:space="preserve"> מתוך </w:t>
    </w:r>
    <w:r w:rsidRPr="004E6E3C">
      <w:rPr>
        <w:rStyle w:val="ab"/>
      </w:rPr>
      <w:fldChar w:fldCharType="begin"/>
    </w:r>
    <w:r w:rsidRPr="004E6E3C" w:rsidR="00005C8B">
      <w:rPr>
        <w:rStyle w:val="ab"/>
      </w:rPr>
      <w:instrText xml:space="preserve"> NUMPAGES </w:instrText>
    </w:r>
    <w:r w:rsidRPr="004E6E3C">
      <w:rPr>
        <w:rStyle w:val="ab"/>
      </w:rPr>
      <w:fldChar w:fldCharType="separate"/>
    </w:r>
    <w:r w:rsidR="00310D49">
      <w:rPr>
        <w:rStyle w:val="ab"/>
        <w:rtl/>
      </w:rPr>
      <w:t>7</w:t>
    </w:r>
    <w:r w:rsidRPr="004E6E3C">
      <w:rPr>
        <w:rStyle w:val="ab"/>
      </w:rPr>
      <w:fldChar w:fldCharType="end"/>
    </w:r>
  </w:p>
  <w:p w:rsidR="00DE008C" w:rsidRDefault="00DE008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p w:rsidR="00DE008C" w:rsidRDefault="00DE008C"/>
  </w:footnote>
  <w:footnote w:type="continuationSeparator" w:id="0">
    <w:p w:rsidR="00694556" w:rsidRDefault="00005C8B">
      <w:r>
        <w:continuationSeparator/>
      </w:r>
    </w:p>
    <w:p w:rsidR="00DE008C" w:rsidRDefault="00DE008C"/>
  </w:footnote>
</w:footnotes>
</file>

<file path=word/header1.xml><?xml version="1.0" encoding="utf-8"?>
<w:hd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310D49">
    <w:pPr>
      <w:pStyle w:val="a3"/>
      <w:jc w:val="center"/>
      <w:rPr>
        <w:rFonts w:cs="FrankRuehl"/>
        <w:noProof w:val="0"/>
        <w:sz w:val="28"/>
        <w:szCs w:val="28"/>
        <w:rtl/>
      </w:rPr>
    </w:pPr>
    <w:r>
      <w:rPr>
        <w:rFonts w:cs="FrankRuehl"/>
        <w:sz w:val="28"/>
        <w:szCs w:val="28"/>
        <w:rtl/>
      </w:rPr>
    </w:r>
    <w:r w:rsidR="00E14C74">
      <w:rPr>
        <w:rFonts w:cs="FrankRuehl"/>
        <w:sz w:val="28"/>
        <w:szCs w:val="28"/>
      </w:rPr>
      <w:drawing>
        <wp:inline distT="0" distB="0" distL="0" distR="0" wp14:anchorId="443BED7B" wp14:editId="4A12729B">
          <wp:extent cx="374015" cy="469265"/>
          <wp:effectExtent l="0" t="0" r="6985" b="6985"/>
          <wp:docPr id="4"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453"/>
      <w:gridCol w:w="2268"/>
    </w:tblGrid>
    <w:tr w:rsidR="00694556" w:rsidTr="007F7067">
      <w:trPr>
        <w:trHeight w:val="528" w:hRule="exact"/>
        <w:jc w:val="center"/>
      </w:trPr>
      <w:sdt>
        <w:sdtPr>
          <w:rPr>
            <w:rtl/>
          </w:rPr>
          <w:alias w:val="1174"/>
          <w:tag w:val="1174"/>
          <w:id w:val="-881016996"/>
          <w:text/>
        </w:sdtPr>
        <w:sdtEndPr/>
        <w:sdtContent>
          <w:tc>
            <w:tcPr>
              <w:tcW w:w="8721" w:type="dxa"/>
              <w:gridSpan w:val="2"/>
            </w:tcPr>
            <w:p w:rsidRPr="00617052" w:rsidR="00694556" w:rsidP="007F7067" w:rsidRDefault="00005C8B">
              <w:pPr>
                <w:pStyle w:val="a3"/>
                <w:jc w:val="center"/>
                <w:rPr>
                  <w:rFonts w:ascii="Tahoma" w:hAnsi="Tahoma" w:cs="Tahoma"/>
                  <w:noProof w:val="0"/>
                  <w:color w:val="000080"/>
                  <w:sz w:val="20"/>
                  <w:szCs w:val="20"/>
                  <w:rtl/>
                </w:rPr>
              </w:pPr>
              <w:r w:rsidRPr="008A4878">
                <w:rPr>
                  <w:rFonts w:ascii="Tahoma" w:hAnsi="Tahoma" w:cs="Tahoma"/>
                  <w:b/>
                  <w:bCs/>
                  <w:noProof w:val="0"/>
                  <w:color w:val="000080"/>
                  <w:rtl/>
                </w:rPr>
                <w:t>בית המשפט המחוזי בירושלים</w:t>
              </w:r>
            </w:p>
          </w:tc>
        </w:sdtContent>
      </w:sdt>
    </w:tr>
    <w:tr w:rsidR="00694556" w:rsidTr="00A15364">
      <w:trPr>
        <w:trHeight w:val="354"/>
        <w:jc w:val="center"/>
      </w:trPr>
      <w:tc>
        <w:tcPr>
          <w:tcW w:w="6453" w:type="dxa"/>
        </w:tcPr>
        <w:p w:rsidRPr="007F7067" w:rsidR="00694556" w:rsidP="009F5713" w:rsidRDefault="00AF62E7">
          <w:pPr>
            <w:rPr>
              <w:rFonts w:ascii="Tahoma" w:hAnsi="Tahoma" w:cs="Tahoma"/>
              <w:b/>
              <w:bCs/>
              <w:sz w:val="20"/>
              <w:szCs w:val="20"/>
              <w:rtl/>
            </w:rPr>
          </w:pPr>
          <w:r w:rsidRPr="00617052">
            <w:rPr>
              <w:rFonts w:ascii="Tahoma" w:hAnsi="Tahoma" w:cs="Tahoma"/>
              <w:b/>
              <w:bCs/>
              <w:sz w:val="20"/>
              <w:szCs w:val="20"/>
              <w:rtl/>
            </w:rPr>
            <w:t>בפני כב' ה</w:t>
          </w:r>
          <w:sdt>
            <w:sdtPr>
              <w:rPr>
                <w:rtl/>
              </w:rPr>
              <w:alias w:val="1574"/>
              <w:tag w:val="1574"/>
              <w:id w:val="2139984819"/>
              <w:text w:multiLine="1"/>
            </w:sdtPr>
            <w:sdtEndPr/>
            <w:sdtContent>
              <w:r>
                <w:rPr>
                  <w:rFonts w:ascii="Tahoma" w:hAnsi="Tahoma" w:cs="Tahoma"/>
                  <w:b/>
                  <w:bCs/>
                  <w:sz w:val="20"/>
                  <w:szCs w:val="20"/>
                  <w:rtl/>
                </w:rPr>
                <w:t>שופט</w:t>
              </w:r>
            </w:sdtContent>
          </w:sdt>
          <w:r w:rsidRPr="00617052">
            <w:rPr>
              <w:rFonts w:ascii="Tahoma" w:hAnsi="Tahoma" w:cs="Tahoma"/>
              <w:b/>
              <w:bCs/>
              <w:sz w:val="20"/>
              <w:szCs w:val="20"/>
              <w:rtl/>
            </w:rPr>
            <w:t xml:space="preserve"> </w:t>
          </w:r>
          <w:sdt>
            <w:sdtPr>
              <w:rPr>
                <w:rtl/>
              </w:rPr>
              <w:alias w:val="1573"/>
              <w:tag w:val="1573"/>
              <w:id w:val="-1954942685"/>
              <w:text w:multiLine="1"/>
            </w:sdtPr>
            <w:sdtEndPr/>
            <w:sdtContent>
              <w:r>
                <w:rPr>
                  <w:rFonts w:ascii="Tahoma" w:hAnsi="Tahoma" w:cs="Tahoma"/>
                  <w:b/>
                  <w:bCs/>
                  <w:sz w:val="20"/>
                  <w:szCs w:val="20"/>
                  <w:rtl/>
                </w:rPr>
                <w:t>א</w:t>
              </w:r>
              <w:r w:rsidR="009F5713">
                <w:rPr>
                  <w:rFonts w:hint="cs" w:ascii="Tahoma" w:hAnsi="Tahoma" w:cs="Tahoma"/>
                  <w:b/>
                  <w:bCs/>
                  <w:sz w:val="20"/>
                  <w:szCs w:val="20"/>
                  <w:rtl/>
                </w:rPr>
                <w:t>'</w:t>
              </w:r>
              <w:r>
                <w:rPr>
                  <w:rFonts w:ascii="Tahoma" w:hAnsi="Tahoma" w:cs="Tahoma"/>
                  <w:b/>
                  <w:bCs/>
                  <w:sz w:val="20"/>
                  <w:szCs w:val="20"/>
                  <w:rtl/>
                </w:rPr>
                <w:t xml:space="preserve"> דראל</w:t>
              </w:r>
            </w:sdtContent>
          </w:sdt>
        </w:p>
      </w:tc>
      <w:sdt>
        <w:sdtPr>
          <w:rPr>
            <w:rtl/>
          </w:rPr>
          <w:alias w:val="1456"/>
          <w:tag w:val="1456"/>
          <w:id w:val="1098917582"/>
          <w:text/>
        </w:sdtPr>
        <w:sdtEndPr/>
        <w:sdtContent>
          <w:tc>
            <w:tcPr>
              <w:tcW w:w="2268" w:type="dxa"/>
            </w:tcPr>
            <w:p w:rsidRPr="00617052" w:rsidR="00694556" w:rsidRDefault="005D1E62">
              <w:pPr>
                <w:pStyle w:val="a3"/>
                <w:jc w:val="right"/>
                <w:rPr>
                  <w:rFonts w:ascii="Tahoma" w:hAnsi="Tahoma" w:cs="Tahoma"/>
                  <w:b/>
                  <w:bCs/>
                  <w:noProof w:val="0"/>
                  <w:sz w:val="20"/>
                  <w:szCs w:val="20"/>
                  <w:rtl/>
                </w:rPr>
              </w:pPr>
              <w:r w:rsidRPr="00617052">
                <w:rPr>
                  <w:rFonts w:ascii="Tahoma" w:hAnsi="Tahoma" w:cs="Tahoma"/>
                  <w:b/>
                  <w:bCs/>
                  <w:noProof w:val="0"/>
                  <w:sz w:val="20"/>
                  <w:szCs w:val="20"/>
                  <w:rtl/>
                </w:rPr>
                <w:t>14 מרץ 2021</w:t>
              </w:r>
            </w:p>
          </w:tc>
        </w:sdtContent>
      </w:sdt>
    </w:tr>
    <w:tr w:rsidR="00694556" w:rsidTr="00A15364">
      <w:trPr>
        <w:trHeight w:val="196"/>
        <w:jc w:val="center"/>
      </w:trPr>
      <w:tc>
        <w:tcPr>
          <w:tcW w:w="8721" w:type="dxa"/>
          <w:gridSpan w:val="2"/>
        </w:tcPr>
        <w:p w:rsidRPr="009F5713" w:rsidR="00694556" w:rsidP="004F3D50" w:rsidRDefault="00310D49">
          <w:pPr>
            <w:rPr>
              <w:rFonts w:ascii="Tahoma" w:hAnsi="Tahoma" w:cs="Tahoma"/>
              <w:b/>
              <w:bCs/>
              <w:noProof w:val="0"/>
              <w:sz w:val="20"/>
              <w:szCs w:val="20"/>
              <w:rtl/>
            </w:rPr>
          </w:pPr>
          <w:sdt>
            <w:sdtPr>
              <w:rPr>
                <w:rFonts w:ascii="Tahoma" w:hAnsi="Tahoma" w:cs="Tahoma"/>
                <w:b/>
                <w:bCs/>
                <w:sz w:val="20"/>
                <w:szCs w:val="20"/>
                <w:rtl/>
              </w:rPr>
              <w:alias w:val="1170"/>
              <w:tag w:val="1170"/>
              <w:id w:val="-329453036"/>
              <w:text w:multiLine="1"/>
            </w:sdtPr>
            <w:sdtEndPr/>
            <w:sdtContent>
              <w:r w:rsidRPr="009F5713" w:rsidR="004F3D50">
                <w:rPr>
                  <w:rFonts w:ascii="Tahoma" w:hAnsi="Tahoma" w:cs="Tahoma"/>
                  <w:b/>
                  <w:bCs/>
                  <w:noProof w:val="0"/>
                  <w:sz w:val="20"/>
                  <w:szCs w:val="20"/>
                  <w:rtl/>
                </w:rPr>
                <w:t>ת"א</w:t>
              </w:r>
            </w:sdtContent>
          </w:sdt>
          <w:r w:rsidRPr="009F5713" w:rsidR="00005C8B">
            <w:rPr>
              <w:rFonts w:ascii="Tahoma" w:hAnsi="Tahoma" w:cs="Tahoma"/>
              <w:b/>
              <w:bCs/>
              <w:noProof w:val="0"/>
              <w:sz w:val="20"/>
              <w:szCs w:val="20"/>
              <w:rtl/>
            </w:rPr>
            <w:t xml:space="preserve"> </w:t>
          </w:r>
          <w:sdt>
            <w:sdtPr>
              <w:rPr>
                <w:rFonts w:ascii="Tahoma" w:hAnsi="Tahoma" w:cs="Tahoma"/>
                <w:b/>
                <w:bCs/>
                <w:sz w:val="20"/>
                <w:szCs w:val="20"/>
                <w:rtl/>
              </w:rPr>
              <w:alias w:val="1171"/>
              <w:tag w:val="1171"/>
              <w:id w:val="1762179727"/>
              <w:text w:multiLine="1"/>
            </w:sdtPr>
            <w:sdtEndPr/>
            <w:sdtContent>
              <w:r w:rsidRPr="009F5713" w:rsidR="004F3D50">
                <w:rPr>
                  <w:rFonts w:ascii="Tahoma" w:hAnsi="Tahoma" w:cs="Tahoma"/>
                  <w:b/>
                  <w:bCs/>
                  <w:noProof w:val="0"/>
                  <w:sz w:val="20"/>
                  <w:szCs w:val="20"/>
                  <w:rtl/>
                </w:rPr>
                <w:t>44312-01-18</w:t>
              </w:r>
            </w:sdtContent>
          </w:sdt>
          <w:r w:rsidRPr="009F5713" w:rsidR="009F5713">
            <w:rPr>
              <w:rFonts w:ascii="Tahoma" w:hAnsi="Tahoma" w:cs="Tahoma"/>
              <w:b/>
              <w:bCs/>
              <w:sz w:val="20"/>
              <w:szCs w:val="20"/>
              <w:rtl/>
            </w:rPr>
            <w:t xml:space="preserve"> פלוני נ' שירותי בריאות כללית</w:t>
          </w:r>
        </w:p>
        <w:p w:rsidR="008D10B2" w:rsidP="00CE068B" w:rsidRDefault="008D10B2">
          <w:pPr>
            <w:rPr>
              <w:rtl/>
            </w:rPr>
          </w:pPr>
        </w:p>
        <w:p w:rsidR="00C43956" w:rsidRDefault="00C43956">
          <w:pPr>
            <w:rPr>
              <w:rFonts w:ascii="Tahoma" w:hAnsi="Tahoma" w:cs="Tahoma"/>
              <w:sz w:val="20"/>
              <w:szCs w:val="20"/>
              <w:rtl/>
            </w:rPr>
          </w:pPr>
        </w:p>
      </w:tc>
    </w:tr>
  </w:tbl>
  <w:p w:rsidR="00694556" w:rsidRDefault="00005C8B">
    <w:pPr>
      <w:pStyle w:val="a3"/>
      <w:rPr>
        <w:noProof w:val="0"/>
        <w:rtl/>
      </w:rPr>
    </w:pPr>
    <w:r>
      <w:rPr>
        <w:noProof w:val="0"/>
        <w:rtl/>
      </w:rPr>
      <w:t xml:space="preserve"> </w:t>
    </w:r>
  </w:p>
  <w:p w:rsidR="00DE008C" w:rsidRDefault="00DE008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E18DE"/>
    <w:multiLevelType w:val="hybridMultilevel"/>
    <w:tmpl w:val="230CCD5E"/>
    <w:lvl w:ilvl="0" w:tplc="4D94A682">
      <w:start w:val="1"/>
      <w:numFmt w:val="hebrew1"/>
      <w:lvlText w:val="%1."/>
      <w:lvlJc w:val="left"/>
      <w:pPr>
        <w:ind w:left="1080" w:hanging="360"/>
      </w:pPr>
      <w:rPr>
        <w:rFonts w:ascii="David" w:hAnsi="David" w:cs="David"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 w15:restartNumberingAfterBreak="0">
    <w:nsid w:val="7D9814E6"/>
    <w:multiLevelType w:val="hybridMultilevel"/>
    <w:tmpl w:val="6C928A1C"/>
    <w:lvl w:ilvl="0" w:tplc="CFF0CEF4">
      <w:start w:val="1"/>
      <w:numFmt w:val="decimal"/>
      <w:lvlText w:val="%1."/>
      <w:lvlJc w:val="left"/>
      <w:pPr>
        <w:ind w:left="720" w:hanging="360"/>
      </w:pPr>
      <w:rPr>
        <w:rFonts w:ascii="David" w:hAnsi="David" w:cs="David"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defaultTabStop w:val="720"/>
  <w:characterSpacingControl w:val="doNotCompress"/>
  <w:hdrShapeDefaults>
    <o:shapedefaults v:ext="edit" spidmax="148482"/>
    <o:shapelayout v:ext="edit">
      <o:idmap v:ext="edit" data="145"/>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226B"/>
    <w:rsid w:val="00005C8B"/>
    <w:rsid w:val="000400C9"/>
    <w:rsid w:val="000564AB"/>
    <w:rsid w:val="00064FBD"/>
    <w:rsid w:val="00071787"/>
    <w:rsid w:val="00082AB2"/>
    <w:rsid w:val="00094C9E"/>
    <w:rsid w:val="00096AF7"/>
    <w:rsid w:val="000B344B"/>
    <w:rsid w:val="000C3B0F"/>
    <w:rsid w:val="000E3AF1"/>
    <w:rsid w:val="000F0BC8"/>
    <w:rsid w:val="00107E6D"/>
    <w:rsid w:val="0011194C"/>
    <w:rsid w:val="0011424C"/>
    <w:rsid w:val="001367BC"/>
    <w:rsid w:val="00144D2A"/>
    <w:rsid w:val="0014653E"/>
    <w:rsid w:val="00180519"/>
    <w:rsid w:val="001C4003"/>
    <w:rsid w:val="001C645C"/>
    <w:rsid w:val="001D4DBF"/>
    <w:rsid w:val="001E627B"/>
    <w:rsid w:val="00216357"/>
    <w:rsid w:val="002265FF"/>
    <w:rsid w:val="0025142A"/>
    <w:rsid w:val="00295253"/>
    <w:rsid w:val="002A191E"/>
    <w:rsid w:val="002C344E"/>
    <w:rsid w:val="00307A6A"/>
    <w:rsid w:val="00307C40"/>
    <w:rsid w:val="00310D49"/>
    <w:rsid w:val="00320433"/>
    <w:rsid w:val="0033597A"/>
    <w:rsid w:val="00352929"/>
    <w:rsid w:val="00362612"/>
    <w:rsid w:val="0036743F"/>
    <w:rsid w:val="003715DD"/>
    <w:rsid w:val="003823E0"/>
    <w:rsid w:val="003A4521"/>
    <w:rsid w:val="003E2AA5"/>
    <w:rsid w:val="0040096C"/>
    <w:rsid w:val="0043125D"/>
    <w:rsid w:val="0043502B"/>
    <w:rsid w:val="004C4BDF"/>
    <w:rsid w:val="004D1187"/>
    <w:rsid w:val="004E15CD"/>
    <w:rsid w:val="004E1987"/>
    <w:rsid w:val="004E6E3C"/>
    <w:rsid w:val="004F3D50"/>
    <w:rsid w:val="00520898"/>
    <w:rsid w:val="005268F6"/>
    <w:rsid w:val="00547DB7"/>
    <w:rsid w:val="00583BE4"/>
    <w:rsid w:val="005C0DA9"/>
    <w:rsid w:val="005D1E62"/>
    <w:rsid w:val="0061431B"/>
    <w:rsid w:val="006157A7"/>
    <w:rsid w:val="00617052"/>
    <w:rsid w:val="00622BAA"/>
    <w:rsid w:val="006306CF"/>
    <w:rsid w:val="00661A5D"/>
    <w:rsid w:val="00671BD5"/>
    <w:rsid w:val="006805C1"/>
    <w:rsid w:val="00686C21"/>
    <w:rsid w:val="006931C1"/>
    <w:rsid w:val="00694556"/>
    <w:rsid w:val="006D1884"/>
    <w:rsid w:val="006D3B31"/>
    <w:rsid w:val="006E0BA0"/>
    <w:rsid w:val="006E1A53"/>
    <w:rsid w:val="00704EDA"/>
    <w:rsid w:val="007275FD"/>
    <w:rsid w:val="00753019"/>
    <w:rsid w:val="00760FFB"/>
    <w:rsid w:val="00795365"/>
    <w:rsid w:val="007A2E29"/>
    <w:rsid w:val="007A5975"/>
    <w:rsid w:val="007E6115"/>
    <w:rsid w:val="007F4609"/>
    <w:rsid w:val="007F7067"/>
    <w:rsid w:val="00812829"/>
    <w:rsid w:val="008176A1"/>
    <w:rsid w:val="00820005"/>
    <w:rsid w:val="00826C5D"/>
    <w:rsid w:val="00844318"/>
    <w:rsid w:val="008749D9"/>
    <w:rsid w:val="00875D12"/>
    <w:rsid w:val="00896889"/>
    <w:rsid w:val="008A4878"/>
    <w:rsid w:val="008C5714"/>
    <w:rsid w:val="008D10B2"/>
    <w:rsid w:val="00903896"/>
    <w:rsid w:val="00906F3D"/>
    <w:rsid w:val="00934EFD"/>
    <w:rsid w:val="00967DFF"/>
    <w:rsid w:val="00990B38"/>
    <w:rsid w:val="00994341"/>
    <w:rsid w:val="009D3AAC"/>
    <w:rsid w:val="009F323C"/>
    <w:rsid w:val="009F5713"/>
    <w:rsid w:val="00A15364"/>
    <w:rsid w:val="00A3392B"/>
    <w:rsid w:val="00A7761F"/>
    <w:rsid w:val="00A94B64"/>
    <w:rsid w:val="00AA3229"/>
    <w:rsid w:val="00AA7596"/>
    <w:rsid w:val="00AC3B7B"/>
    <w:rsid w:val="00AC5209"/>
    <w:rsid w:val="00AD4291"/>
    <w:rsid w:val="00AE7752"/>
    <w:rsid w:val="00AF62E7"/>
    <w:rsid w:val="00AF7FDA"/>
    <w:rsid w:val="00B03735"/>
    <w:rsid w:val="00B46619"/>
    <w:rsid w:val="00B80CBD"/>
    <w:rsid w:val="00B86096"/>
    <w:rsid w:val="00BA517C"/>
    <w:rsid w:val="00BB3D05"/>
    <w:rsid w:val="00BB73BE"/>
    <w:rsid w:val="00BC686C"/>
    <w:rsid w:val="00BE3F26"/>
    <w:rsid w:val="00BF1908"/>
    <w:rsid w:val="00C22D93"/>
    <w:rsid w:val="00C34482"/>
    <w:rsid w:val="00C43956"/>
    <w:rsid w:val="00C50A9F"/>
    <w:rsid w:val="00C642FA"/>
    <w:rsid w:val="00CC1B23"/>
    <w:rsid w:val="00CC6E27"/>
    <w:rsid w:val="00CC7622"/>
    <w:rsid w:val="00CE068B"/>
    <w:rsid w:val="00CE3C24"/>
    <w:rsid w:val="00D2540F"/>
    <w:rsid w:val="00D26ADA"/>
    <w:rsid w:val="00D27982"/>
    <w:rsid w:val="00D33B86"/>
    <w:rsid w:val="00D53924"/>
    <w:rsid w:val="00D55D0C"/>
    <w:rsid w:val="00D86D7A"/>
    <w:rsid w:val="00D96D8C"/>
    <w:rsid w:val="00DA6649"/>
    <w:rsid w:val="00DC2571"/>
    <w:rsid w:val="00DC487C"/>
    <w:rsid w:val="00DE008C"/>
    <w:rsid w:val="00E14C74"/>
    <w:rsid w:val="00E1698D"/>
    <w:rsid w:val="00E25884"/>
    <w:rsid w:val="00E5426A"/>
    <w:rsid w:val="00E54642"/>
    <w:rsid w:val="00EA1DA0"/>
    <w:rsid w:val="00EC0601"/>
    <w:rsid w:val="00EC37E9"/>
    <w:rsid w:val="00EF04B0"/>
    <w:rsid w:val="00F13623"/>
    <w:rsid w:val="00F30CC7"/>
    <w:rsid w:val="00F84B6D"/>
    <w:rsid w:val="00F96FD2"/>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48482"/>
    <o:shapelayout v:ext="edit">
      <o:idmap v:ext="edit" data="1"/>
    </o:shapelayout>
  </w:shapeDefaults>
  <w:decimalSymbol w:val="."/>
  <w:listSeparator w:val=","/>
  <w14:docId w14:val="446ECE7D"/>
  <w15:docId w15:val="{853F6074-3EC1-4526-9D6D-5A72AAED8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D2540F"/>
    <w:rPr>
      <w:color w:val="808080"/>
    </w:rPr>
  </w:style>
  <w:style w:type="paragraph" w:styleId="ad">
    <w:name w:val="List Paragraph"/>
    <w:basedOn w:val="a"/>
    <w:uiPriority w:val="34"/>
    <w:qFormat/>
    <w:rsid w:val="009F5713"/>
    <w:pPr>
      <w:spacing w:after="160" w:line="259" w:lineRule="auto"/>
      <w:ind w:left="720"/>
      <w:contextualSpacing/>
    </w:pPr>
    <w:rPr>
      <w:rFonts w:asciiTheme="minorHAnsi" w:hAnsiTheme="minorHAnsi" w:cs="Arial"/>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theme" Target="theme/theme1.xml" Id="rId12" /><Relationship Type="http://schemas.microsoft.com/office/2006/relationships/keyMapCustomizations" Target="customizations.xml" Id="rId1" /><Relationship Type="http://schemas.openxmlformats.org/officeDocument/2006/relationships/webSettings" Target="webSettings.xml" Id="rId6" /><Relationship Type="http://schemas.openxmlformats.org/officeDocument/2006/relationships/fontTable" Target="fontTable.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 Type="http://schemas.openxmlformats.org/officeDocument/2006/relationships/image" Target="/media/image2.jpg" Id="R2bb6e80ace1142a9" /></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7</Pages>
  <Words>1602</Words>
  <Characters>8013</Characters>
  <Application>Microsoft Office Word</Application>
  <DocSecurity>0</DocSecurity>
  <Lines>66</Lines>
  <Paragraphs>19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Court</cp:lastModifiedBy>
  <cp:revision>41</cp:revision>
  <cp:lastPrinted>2021-03-14T10:59:00Z</cp:lastPrinted>
  <dcterms:created xsi:type="dcterms:W3CDTF">2012-08-05T20:46:00Z</dcterms:created>
  <dcterms:modified xsi:type="dcterms:W3CDTF">2021-03-14T15:39:00Z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ies>
</file>