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1205B4" w:rsidP="004C7868">
            <w:pPr>
              <w:pStyle w:val="FileNumber0"/>
              <w:rPr>
                <w:sz w:val="28"/>
                <w:u w:val="single"/>
                <w:rtl/>
              </w:rPr>
            </w:pPr>
            <w:r>
              <w:rPr>
                <w:u w:val="single"/>
                <w:rtl/>
              </w:rPr>
              <w:t>בבית המשפט העליון</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1205B4">
            <w:pPr>
              <w:pStyle w:val="FileNumber"/>
              <w:rPr>
                <w:sz w:val="28"/>
                <w:szCs w:val="28"/>
              </w:rPr>
            </w:pPr>
            <w:bookmarkStart w:id="0" w:name="casename_body"/>
            <w:r>
              <w:rPr>
                <w:sz w:val="28"/>
                <w:szCs w:val="28"/>
                <w:rtl/>
              </w:rPr>
              <w:t>בש"א  433/21</w:t>
            </w:r>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1205B4">
            <w:pPr>
              <w:pStyle w:val="BodyRuller"/>
            </w:pPr>
            <w:r>
              <w:rPr>
                <w:rtl/>
              </w:rPr>
              <w:t>כבוד הרשם רון גולדשטיין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1205B4" w:rsidP="00DD6306">
            <w:pPr>
              <w:pStyle w:val="BodyRuller"/>
              <w:rPr>
                <w:rFonts w:ascii="David" w:hAnsi="David"/>
              </w:rPr>
            </w:pPr>
            <w:r>
              <w:rPr>
                <w:rFonts w:ascii="David" w:hAnsi="David"/>
                <w:rtl/>
              </w:rPr>
              <w:t>המבקש:</w:t>
            </w:r>
          </w:p>
        </w:tc>
        <w:tc>
          <w:tcPr>
            <w:tcW w:w="5239" w:type="dxa"/>
          </w:tcPr>
          <w:p w:rsidR="00D00CB7" w:rsidRDefault="001205B4" w:rsidP="00DD6306">
            <w:pPr>
              <w:pStyle w:val="BodyRuller"/>
            </w:pPr>
            <w:r>
              <w:rPr>
                <w:rtl/>
              </w:rPr>
              <w:t>מיכה לוי</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1205B4" w:rsidP="00DD6306">
            <w:pPr>
              <w:pStyle w:val="BodyRuller"/>
              <w:rPr>
                <w:rFonts w:ascii="David" w:hAnsi="David"/>
              </w:rPr>
            </w:pPr>
            <w:r>
              <w:rPr>
                <w:rFonts w:ascii="David" w:hAnsi="David"/>
                <w:rtl/>
              </w:rPr>
              <w:t>המשיבים:</w:t>
            </w:r>
          </w:p>
        </w:tc>
        <w:tc>
          <w:tcPr>
            <w:tcW w:w="5239" w:type="dxa"/>
          </w:tcPr>
          <w:p w:rsidR="0083345F" w:rsidRDefault="001205B4" w:rsidP="00DD6306">
            <w:pPr>
              <w:pStyle w:val="BodyRuller"/>
            </w:pPr>
            <w:r>
              <w:rPr>
                <w:rtl/>
              </w:rPr>
              <w:t>1. יצחק לוי</w:t>
            </w:r>
          </w:p>
        </w:tc>
      </w:tr>
      <w:tr w:rsidR="001205B4" w:rsidTr="00DD6306">
        <w:trPr>
          <w:trHeight w:val="287"/>
        </w:trPr>
        <w:tc>
          <w:tcPr>
            <w:tcW w:w="3261" w:type="dxa"/>
          </w:tcPr>
          <w:p w:rsidR="001205B4" w:rsidRDefault="001205B4" w:rsidP="00DD6306">
            <w:pPr>
              <w:pStyle w:val="BodyRuller"/>
              <w:rPr>
                <w:rFonts w:ascii="David" w:hAnsi="David"/>
                <w:rtl/>
              </w:rPr>
            </w:pPr>
          </w:p>
        </w:tc>
        <w:tc>
          <w:tcPr>
            <w:tcW w:w="5239" w:type="dxa"/>
          </w:tcPr>
          <w:p w:rsidR="001205B4" w:rsidRDefault="001205B4" w:rsidP="00F20723">
            <w:pPr>
              <w:pStyle w:val="BodyRuller"/>
              <w:rPr>
                <w:rtl/>
              </w:rPr>
            </w:pPr>
            <w:r>
              <w:rPr>
                <w:rtl/>
              </w:rPr>
              <w:t>2. מלונות שלום בע"מ</w:t>
            </w:r>
          </w:p>
        </w:tc>
      </w:tr>
      <w:tr w:rsidR="001205B4" w:rsidTr="00DD6306">
        <w:trPr>
          <w:trHeight w:val="287"/>
        </w:trPr>
        <w:tc>
          <w:tcPr>
            <w:tcW w:w="3261" w:type="dxa"/>
          </w:tcPr>
          <w:p w:rsidR="001205B4" w:rsidRDefault="001205B4" w:rsidP="00DD6306">
            <w:pPr>
              <w:pStyle w:val="BodyRuller"/>
              <w:rPr>
                <w:rFonts w:ascii="David" w:hAnsi="David"/>
                <w:rtl/>
              </w:rPr>
            </w:pPr>
          </w:p>
        </w:tc>
        <w:tc>
          <w:tcPr>
            <w:tcW w:w="5239" w:type="dxa"/>
          </w:tcPr>
          <w:p w:rsidR="001205B4" w:rsidRDefault="001205B4" w:rsidP="00F20723">
            <w:pPr>
              <w:pStyle w:val="BodyRuller"/>
              <w:rPr>
                <w:rtl/>
              </w:rPr>
            </w:pPr>
            <w:r>
              <w:rPr>
                <w:rtl/>
              </w:rPr>
              <w:t xml:space="preserve">3. </w:t>
            </w:r>
            <w:proofErr w:type="spellStart"/>
            <w:r>
              <w:rPr>
                <w:rtl/>
              </w:rPr>
              <w:t>אלומי</w:t>
            </w:r>
            <w:proofErr w:type="spellEnd"/>
            <w:r>
              <w:rPr>
                <w:rtl/>
              </w:rPr>
              <w:t xml:space="preserve"> נוף ירושלים בע"מ</w:t>
            </w:r>
          </w:p>
        </w:tc>
      </w:tr>
      <w:tr w:rsidR="001205B4" w:rsidTr="00DD6306">
        <w:trPr>
          <w:trHeight w:val="287"/>
        </w:trPr>
        <w:tc>
          <w:tcPr>
            <w:tcW w:w="3261" w:type="dxa"/>
          </w:tcPr>
          <w:p w:rsidR="001205B4" w:rsidRDefault="001205B4" w:rsidP="00DD6306">
            <w:pPr>
              <w:pStyle w:val="BodyRuller"/>
              <w:rPr>
                <w:rFonts w:ascii="David" w:hAnsi="David"/>
                <w:rtl/>
              </w:rPr>
            </w:pPr>
          </w:p>
        </w:tc>
        <w:tc>
          <w:tcPr>
            <w:tcW w:w="5239" w:type="dxa"/>
          </w:tcPr>
          <w:p w:rsidR="001205B4" w:rsidRDefault="001205B4" w:rsidP="00F20723">
            <w:pPr>
              <w:pStyle w:val="BodyRuller"/>
              <w:rPr>
                <w:rtl/>
              </w:rPr>
            </w:pPr>
            <w:r>
              <w:rPr>
                <w:rtl/>
              </w:rPr>
              <w:t xml:space="preserve">4. </w:t>
            </w:r>
            <w:proofErr w:type="spellStart"/>
            <w:r>
              <w:rPr>
                <w:rtl/>
              </w:rPr>
              <w:t>ש.ר.י</w:t>
            </w:r>
            <w:proofErr w:type="spellEnd"/>
            <w:r>
              <w:rPr>
                <w:rtl/>
              </w:rPr>
              <w:t>. ניהול בע"מ</w:t>
            </w:r>
          </w:p>
        </w:tc>
      </w:tr>
      <w:tr w:rsidR="001205B4" w:rsidTr="00DD6306">
        <w:trPr>
          <w:trHeight w:val="287"/>
        </w:trPr>
        <w:tc>
          <w:tcPr>
            <w:tcW w:w="3261" w:type="dxa"/>
          </w:tcPr>
          <w:p w:rsidR="001205B4" w:rsidRDefault="001205B4" w:rsidP="00DD6306">
            <w:pPr>
              <w:pStyle w:val="BodyRuller"/>
              <w:rPr>
                <w:rFonts w:ascii="David" w:hAnsi="David"/>
                <w:rtl/>
              </w:rPr>
            </w:pPr>
          </w:p>
        </w:tc>
        <w:tc>
          <w:tcPr>
            <w:tcW w:w="5239" w:type="dxa"/>
          </w:tcPr>
          <w:p w:rsidR="001205B4" w:rsidRDefault="001205B4" w:rsidP="00F20723">
            <w:pPr>
              <w:pStyle w:val="BodyRuller"/>
              <w:rPr>
                <w:rtl/>
              </w:rPr>
            </w:pPr>
            <w:r>
              <w:rPr>
                <w:rtl/>
              </w:rPr>
              <w:t>5. אולמי בית וגן בע"מ</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F20723" w:rsidRDefault="00F20723">
            <w:pPr>
              <w:pStyle w:val="BodyRuller"/>
              <w:rPr>
                <w:b/>
                <w:bCs/>
                <w:sz w:val="24"/>
                <w:szCs w:val="24"/>
              </w:rPr>
            </w:pPr>
            <w:r w:rsidRPr="00F20723">
              <w:rPr>
                <w:rFonts w:hint="cs"/>
                <w:b/>
                <w:bCs/>
                <w:sz w:val="28"/>
                <w:rtl/>
              </w:rPr>
              <w:t>בקשה להגדלת היקף כתב טענות</w:t>
            </w:r>
          </w:p>
        </w:tc>
      </w:tr>
    </w:tbl>
    <w:p w:rsidR="00916FF8" w:rsidRDefault="00916FF8">
      <w:pPr>
        <w:pStyle w:val="Ruller3"/>
        <w:rPr>
          <w:rtl/>
        </w:rPr>
      </w:pPr>
    </w:p>
    <w:p w:rsidR="00916FF8" w:rsidRDefault="00916FF8">
      <w:pPr>
        <w:tabs>
          <w:tab w:val="left" w:pos="2552"/>
        </w:tabs>
        <w:rPr>
          <w:rtl/>
        </w:rPr>
      </w:pPr>
    </w:p>
    <w:p w:rsidR="00F20723" w:rsidRDefault="00F20723">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1205B4">
            <w:pPr>
              <w:pStyle w:val="DocumentHead"/>
            </w:pPr>
            <w:bookmarkStart w:id="1" w:name="secretary"/>
            <w:bookmarkStart w:id="2" w:name="BeginProtocol"/>
            <w:bookmarkEnd w:id="1"/>
            <w:bookmarkEnd w:id="2"/>
            <w:r>
              <w:rPr>
                <w:rtl/>
              </w:rPr>
              <w:t>החלטה</w:t>
            </w:r>
          </w:p>
        </w:tc>
      </w:tr>
    </w:tbl>
    <w:p w:rsidR="0065522F" w:rsidRDefault="0065522F">
      <w:pPr>
        <w:pStyle w:val="BODYVERDICT"/>
      </w:pPr>
    </w:p>
    <w:p w:rsidR="00916FF8" w:rsidRPr="00503A3E" w:rsidRDefault="00916FF8">
      <w:pPr>
        <w:pStyle w:val="BODYVERDICT"/>
        <w:rPr>
          <w:rFonts w:cs="Miriam"/>
          <w:sz w:val="24"/>
          <w:szCs w:val="24"/>
          <w:u w:val="single"/>
          <w:rtl/>
        </w:rPr>
      </w:pPr>
      <w:bookmarkStart w:id="3" w:name="Writer_Name"/>
      <w:bookmarkEnd w:id="3"/>
    </w:p>
    <w:p w:rsidR="00F20723" w:rsidRDefault="00F20723" w:rsidP="00F20723">
      <w:pPr>
        <w:pStyle w:val="Ruller41"/>
        <w:rPr>
          <w:rtl/>
        </w:rPr>
      </w:pPr>
      <w:bookmarkStart w:id="4" w:name="Start_Write"/>
      <w:bookmarkEnd w:id="4"/>
    </w:p>
    <w:p w:rsidR="00F20723" w:rsidRDefault="00F20723" w:rsidP="005F192F">
      <w:pPr>
        <w:pStyle w:val="Ruller41"/>
        <w:rPr>
          <w:rtl/>
        </w:rPr>
      </w:pPr>
      <w:r>
        <w:rPr>
          <w:rFonts w:hint="cs"/>
          <w:rtl/>
        </w:rPr>
        <w:t>1.</w:t>
      </w:r>
      <w:r>
        <w:rPr>
          <w:rtl/>
        </w:rPr>
        <w:tab/>
      </w:r>
      <w:r w:rsidRPr="00C02C56">
        <w:rPr>
          <w:rFonts w:hint="eastAsia"/>
          <w:rtl/>
        </w:rPr>
        <w:t>מהו</w:t>
      </w:r>
      <w:r w:rsidRPr="00C02C56">
        <w:rPr>
          <w:rtl/>
        </w:rPr>
        <w:t xml:space="preserve"> </w:t>
      </w:r>
      <w:r w:rsidRPr="00C02C56">
        <w:rPr>
          <w:rFonts w:hint="eastAsia"/>
          <w:rtl/>
        </w:rPr>
        <w:t>העיתוי</w:t>
      </w:r>
      <w:r w:rsidRPr="00C02C56">
        <w:rPr>
          <w:rtl/>
        </w:rPr>
        <w:t xml:space="preserve"> </w:t>
      </w:r>
      <w:r w:rsidRPr="00C02C56">
        <w:rPr>
          <w:rFonts w:hint="eastAsia"/>
          <w:rtl/>
        </w:rPr>
        <w:t>הדיוני</w:t>
      </w:r>
      <w:r w:rsidRPr="00C02C56">
        <w:rPr>
          <w:rtl/>
        </w:rPr>
        <w:t xml:space="preserve"> </w:t>
      </w:r>
      <w:r w:rsidRPr="00C02C56">
        <w:rPr>
          <w:rFonts w:hint="eastAsia"/>
          <w:rtl/>
        </w:rPr>
        <w:t>להגשת</w:t>
      </w:r>
      <w:r w:rsidRPr="00C02C56">
        <w:rPr>
          <w:rtl/>
        </w:rPr>
        <w:t xml:space="preserve"> </w:t>
      </w:r>
      <w:r w:rsidRPr="00C02C56">
        <w:rPr>
          <w:rFonts w:hint="eastAsia"/>
          <w:rtl/>
        </w:rPr>
        <w:t>בקשה</w:t>
      </w:r>
      <w:r w:rsidRPr="00C02C56">
        <w:rPr>
          <w:rtl/>
        </w:rPr>
        <w:t xml:space="preserve"> </w:t>
      </w:r>
      <w:r w:rsidRPr="00C02C56">
        <w:rPr>
          <w:rFonts w:hint="eastAsia"/>
          <w:rtl/>
        </w:rPr>
        <w:t>להגדלת</w:t>
      </w:r>
      <w:r w:rsidRPr="00C02C56">
        <w:rPr>
          <w:rtl/>
        </w:rPr>
        <w:t xml:space="preserve"> </w:t>
      </w:r>
      <w:r w:rsidR="00390763">
        <w:rPr>
          <w:rFonts w:hint="cs"/>
          <w:rtl/>
        </w:rPr>
        <w:t>היקף גוף ה</w:t>
      </w:r>
      <w:r>
        <w:rPr>
          <w:rFonts w:hint="cs"/>
          <w:rtl/>
        </w:rPr>
        <w:t>ערעור</w:t>
      </w:r>
      <w:r w:rsidRPr="00C02C56">
        <w:rPr>
          <w:rtl/>
        </w:rPr>
        <w:t xml:space="preserve"> </w:t>
      </w:r>
      <w:r>
        <w:rPr>
          <w:rFonts w:hint="cs"/>
          <w:rtl/>
        </w:rPr>
        <w:t>בהליך</w:t>
      </w:r>
      <w:r w:rsidRPr="00C02C56">
        <w:rPr>
          <w:rtl/>
        </w:rPr>
        <w:t xml:space="preserve"> </w:t>
      </w:r>
      <w:r w:rsidRPr="00C02C56">
        <w:rPr>
          <w:rFonts w:hint="eastAsia"/>
          <w:rtl/>
        </w:rPr>
        <w:t>המתברר</w:t>
      </w:r>
      <w:r w:rsidRPr="00C02C56">
        <w:rPr>
          <w:rtl/>
        </w:rPr>
        <w:t xml:space="preserve"> </w:t>
      </w:r>
      <w:r w:rsidRPr="00C02C56">
        <w:rPr>
          <w:rFonts w:hint="eastAsia"/>
          <w:rtl/>
        </w:rPr>
        <w:t>בהתאם</w:t>
      </w:r>
      <w:r w:rsidRPr="00C02C56">
        <w:rPr>
          <w:rtl/>
        </w:rPr>
        <w:t xml:space="preserve"> </w:t>
      </w:r>
      <w:r w:rsidRPr="00C02C56">
        <w:rPr>
          <w:rFonts w:hint="eastAsia"/>
          <w:rtl/>
        </w:rPr>
        <w:t>לתקנות</w:t>
      </w:r>
      <w:r w:rsidRPr="00C02C56">
        <w:rPr>
          <w:rtl/>
        </w:rPr>
        <w:t xml:space="preserve"> </w:t>
      </w:r>
      <w:r w:rsidRPr="00C02C56">
        <w:rPr>
          <w:rFonts w:hint="eastAsia"/>
          <w:rtl/>
        </w:rPr>
        <w:t>סדר</w:t>
      </w:r>
      <w:r w:rsidRPr="00C02C56">
        <w:rPr>
          <w:rtl/>
        </w:rPr>
        <w:t xml:space="preserve"> </w:t>
      </w:r>
      <w:r w:rsidRPr="00C02C56">
        <w:rPr>
          <w:rFonts w:hint="eastAsia"/>
          <w:rtl/>
        </w:rPr>
        <w:t>הדין</w:t>
      </w:r>
      <w:r w:rsidRPr="00C02C56">
        <w:rPr>
          <w:rtl/>
        </w:rPr>
        <w:t xml:space="preserve"> </w:t>
      </w:r>
      <w:r w:rsidRPr="00C02C56">
        <w:rPr>
          <w:rFonts w:hint="eastAsia"/>
          <w:rtl/>
        </w:rPr>
        <w:t>האזרחי</w:t>
      </w:r>
      <w:r w:rsidRPr="00C02C56">
        <w:rPr>
          <w:rtl/>
        </w:rPr>
        <w:t xml:space="preserve">, </w:t>
      </w:r>
      <w:r w:rsidRPr="00C02C56">
        <w:rPr>
          <w:rFonts w:hint="eastAsia"/>
          <w:rtl/>
        </w:rPr>
        <w:t>התשע</w:t>
      </w:r>
      <w:r w:rsidRPr="00C02C56">
        <w:rPr>
          <w:rtl/>
        </w:rPr>
        <w:t>"</w:t>
      </w:r>
      <w:r w:rsidRPr="00C02C56">
        <w:rPr>
          <w:rFonts w:hint="eastAsia"/>
          <w:rtl/>
        </w:rPr>
        <w:t>ט</w:t>
      </w:r>
      <w:r w:rsidRPr="00C02C56">
        <w:rPr>
          <w:rtl/>
        </w:rPr>
        <w:t>-2018 (</w:t>
      </w:r>
      <w:r w:rsidRPr="00C02C56">
        <w:rPr>
          <w:rFonts w:hint="eastAsia"/>
          <w:rtl/>
        </w:rPr>
        <w:t>להלן</w:t>
      </w:r>
      <w:r w:rsidRPr="00C02C56">
        <w:rPr>
          <w:rtl/>
        </w:rPr>
        <w:t xml:space="preserve">: </w:t>
      </w:r>
      <w:r w:rsidRPr="00C02C56">
        <w:rPr>
          <w:rFonts w:ascii="Century" w:hAnsi="Century" w:cs="Miriam" w:hint="eastAsia"/>
          <w:b/>
          <w:spacing w:val="0"/>
          <w:szCs w:val="24"/>
          <w:rtl/>
        </w:rPr>
        <w:t>התקנות</w:t>
      </w:r>
      <w:r w:rsidRPr="00C02C56">
        <w:rPr>
          <w:rtl/>
        </w:rPr>
        <w:t xml:space="preserve">, </w:t>
      </w:r>
      <w:r w:rsidRPr="00C02C56">
        <w:rPr>
          <w:rFonts w:hint="eastAsia"/>
          <w:rtl/>
        </w:rPr>
        <w:t>או</w:t>
      </w:r>
      <w:r w:rsidRPr="00C02C56">
        <w:rPr>
          <w:rtl/>
        </w:rPr>
        <w:t xml:space="preserve">: </w:t>
      </w:r>
      <w:r w:rsidRPr="00C02C56">
        <w:rPr>
          <w:rFonts w:ascii="Century" w:hAnsi="Century" w:cs="Miriam" w:hint="eastAsia"/>
          <w:b/>
          <w:spacing w:val="0"/>
          <w:szCs w:val="24"/>
          <w:rtl/>
        </w:rPr>
        <w:t>תקנות</w:t>
      </w:r>
      <w:r w:rsidRPr="00C02C56">
        <w:rPr>
          <w:rFonts w:ascii="Century" w:hAnsi="Century" w:cs="Miriam"/>
          <w:b/>
          <w:spacing w:val="0"/>
          <w:szCs w:val="24"/>
          <w:rtl/>
        </w:rPr>
        <w:t xml:space="preserve"> </w:t>
      </w:r>
      <w:r w:rsidRPr="00C02C56">
        <w:rPr>
          <w:rFonts w:ascii="Century" w:hAnsi="Century" w:cs="Miriam" w:hint="eastAsia"/>
          <w:b/>
          <w:spacing w:val="0"/>
          <w:szCs w:val="24"/>
          <w:rtl/>
        </w:rPr>
        <w:t>סדר</w:t>
      </w:r>
      <w:r w:rsidRPr="00C02C56">
        <w:rPr>
          <w:rFonts w:ascii="Century" w:hAnsi="Century" w:cs="Miriam"/>
          <w:b/>
          <w:spacing w:val="0"/>
          <w:szCs w:val="24"/>
          <w:rtl/>
        </w:rPr>
        <w:t xml:space="preserve"> </w:t>
      </w:r>
      <w:r w:rsidRPr="00C02C56">
        <w:rPr>
          <w:rFonts w:ascii="Century" w:hAnsi="Century" w:cs="Miriam" w:hint="eastAsia"/>
          <w:b/>
          <w:spacing w:val="0"/>
          <w:szCs w:val="24"/>
          <w:rtl/>
        </w:rPr>
        <w:t>הדין</w:t>
      </w:r>
      <w:r w:rsidRPr="00C02C56">
        <w:rPr>
          <w:rtl/>
        </w:rPr>
        <w:t>)</w:t>
      </w:r>
      <w:r w:rsidR="00A56B3D">
        <w:rPr>
          <w:rFonts w:hint="cs"/>
          <w:rtl/>
        </w:rPr>
        <w:t>?</w:t>
      </w:r>
      <w:r>
        <w:rPr>
          <w:rFonts w:hint="cs"/>
          <w:rtl/>
        </w:rPr>
        <w:t xml:space="preserve"> סוגיה זו</w:t>
      </w:r>
      <w:r w:rsidRPr="00C02C56">
        <w:rPr>
          <w:rtl/>
        </w:rPr>
        <w:t xml:space="preserve"> </w:t>
      </w:r>
      <w:r w:rsidRPr="00C02C56">
        <w:rPr>
          <w:rFonts w:hint="eastAsia"/>
          <w:rtl/>
        </w:rPr>
        <w:t>מתעוררת</w:t>
      </w:r>
      <w:r w:rsidRPr="00C02C56">
        <w:rPr>
          <w:rtl/>
        </w:rPr>
        <w:t xml:space="preserve"> </w:t>
      </w:r>
      <w:r w:rsidRPr="00C02C56">
        <w:rPr>
          <w:rFonts w:hint="eastAsia"/>
          <w:rtl/>
        </w:rPr>
        <w:t>במסגרת</w:t>
      </w:r>
      <w:r w:rsidRPr="00C02C56">
        <w:rPr>
          <w:rtl/>
        </w:rPr>
        <w:t xml:space="preserve"> </w:t>
      </w:r>
      <w:r w:rsidRPr="00C02C56">
        <w:rPr>
          <w:rFonts w:hint="eastAsia"/>
          <w:rtl/>
        </w:rPr>
        <w:t>הבקשה</w:t>
      </w:r>
      <w:r w:rsidRPr="00C02C56">
        <w:rPr>
          <w:rtl/>
        </w:rPr>
        <w:t xml:space="preserve"> </w:t>
      </w:r>
      <w:r w:rsidRPr="00C02C56">
        <w:rPr>
          <w:rFonts w:hint="eastAsia"/>
          <w:rtl/>
        </w:rPr>
        <w:t>שבכותרת</w:t>
      </w:r>
      <w:r w:rsidRPr="00C02C56">
        <w:rPr>
          <w:rtl/>
        </w:rPr>
        <w:t xml:space="preserve"> </w:t>
      </w:r>
      <w:r w:rsidRPr="00C02C56">
        <w:rPr>
          <w:rFonts w:hint="eastAsia"/>
          <w:rtl/>
        </w:rPr>
        <w:t>שבה</w:t>
      </w:r>
      <w:r w:rsidRPr="00C02C56">
        <w:rPr>
          <w:rtl/>
        </w:rPr>
        <w:t xml:space="preserve"> </w:t>
      </w:r>
      <w:r w:rsidRPr="00C02C56">
        <w:rPr>
          <w:rFonts w:hint="eastAsia"/>
          <w:rtl/>
        </w:rPr>
        <w:t>עותר</w:t>
      </w:r>
      <w:r w:rsidRPr="00C02C56">
        <w:rPr>
          <w:rtl/>
        </w:rPr>
        <w:t xml:space="preserve"> </w:t>
      </w:r>
      <w:r w:rsidRPr="00C02C56">
        <w:rPr>
          <w:rFonts w:hint="eastAsia"/>
          <w:rtl/>
        </w:rPr>
        <w:t>המבקש</w:t>
      </w:r>
      <w:r w:rsidRPr="00C02C56">
        <w:rPr>
          <w:rtl/>
        </w:rPr>
        <w:t xml:space="preserve"> </w:t>
      </w:r>
      <w:r w:rsidRPr="00C02C56">
        <w:rPr>
          <w:rFonts w:hint="eastAsia"/>
          <w:rtl/>
        </w:rPr>
        <w:t>לאפשר</w:t>
      </w:r>
      <w:r w:rsidRPr="00C02C56">
        <w:rPr>
          <w:rtl/>
        </w:rPr>
        <w:t xml:space="preserve"> </w:t>
      </w:r>
      <w:r w:rsidRPr="00C02C56">
        <w:rPr>
          <w:rFonts w:hint="eastAsia"/>
          <w:rtl/>
        </w:rPr>
        <w:t>לו</w:t>
      </w:r>
      <w:r w:rsidRPr="00C02C56">
        <w:rPr>
          <w:rtl/>
        </w:rPr>
        <w:t xml:space="preserve"> </w:t>
      </w:r>
      <w:r w:rsidRPr="00C02C56">
        <w:rPr>
          <w:rFonts w:hint="eastAsia"/>
          <w:rtl/>
        </w:rPr>
        <w:t>להגיש</w:t>
      </w:r>
      <w:r w:rsidRPr="00C02C56">
        <w:rPr>
          <w:rtl/>
        </w:rPr>
        <w:t xml:space="preserve"> </w:t>
      </w:r>
      <w:r w:rsidRPr="00C02C56">
        <w:rPr>
          <w:rFonts w:hint="eastAsia"/>
          <w:rtl/>
        </w:rPr>
        <w:t>לבית</w:t>
      </w:r>
      <w:r w:rsidRPr="00C02C56">
        <w:rPr>
          <w:rtl/>
        </w:rPr>
        <w:t xml:space="preserve"> </w:t>
      </w:r>
      <w:r w:rsidRPr="00C02C56">
        <w:rPr>
          <w:rFonts w:hint="eastAsia"/>
          <w:rtl/>
        </w:rPr>
        <w:t>משפט</w:t>
      </w:r>
      <w:r w:rsidRPr="00C02C56">
        <w:rPr>
          <w:rtl/>
        </w:rPr>
        <w:t xml:space="preserve"> </w:t>
      </w:r>
      <w:r w:rsidRPr="00C02C56">
        <w:rPr>
          <w:rFonts w:hint="eastAsia"/>
          <w:rtl/>
        </w:rPr>
        <w:t>זה</w:t>
      </w:r>
      <w:r w:rsidRPr="00C02C56">
        <w:rPr>
          <w:rtl/>
        </w:rPr>
        <w:t xml:space="preserve"> </w:t>
      </w:r>
      <w:r w:rsidRPr="00C02C56">
        <w:rPr>
          <w:rFonts w:hint="eastAsia"/>
          <w:rtl/>
        </w:rPr>
        <w:t>בקשת</w:t>
      </w:r>
      <w:r w:rsidRPr="00C02C56">
        <w:rPr>
          <w:rtl/>
        </w:rPr>
        <w:t xml:space="preserve"> </w:t>
      </w:r>
      <w:r w:rsidRPr="00C02C56">
        <w:rPr>
          <w:rFonts w:hint="eastAsia"/>
          <w:rtl/>
        </w:rPr>
        <w:t>רשות</w:t>
      </w:r>
      <w:r w:rsidRPr="00C02C56">
        <w:rPr>
          <w:rtl/>
        </w:rPr>
        <w:t xml:space="preserve"> </w:t>
      </w:r>
      <w:r w:rsidRPr="00C02C56">
        <w:rPr>
          <w:rFonts w:hint="eastAsia"/>
          <w:rtl/>
        </w:rPr>
        <w:t>ערעור</w:t>
      </w:r>
      <w:r w:rsidRPr="00C02C56">
        <w:rPr>
          <w:rtl/>
        </w:rPr>
        <w:t xml:space="preserve"> </w:t>
      </w:r>
      <w:r w:rsidRPr="00C02C56">
        <w:rPr>
          <w:rFonts w:hint="eastAsia"/>
          <w:rtl/>
        </w:rPr>
        <w:t>בהיקף</w:t>
      </w:r>
      <w:r w:rsidRPr="00C02C56">
        <w:rPr>
          <w:rtl/>
        </w:rPr>
        <w:t xml:space="preserve"> </w:t>
      </w:r>
      <w:r w:rsidRPr="00C02C56">
        <w:rPr>
          <w:rFonts w:hint="eastAsia"/>
          <w:rtl/>
        </w:rPr>
        <w:t>העולה</w:t>
      </w:r>
      <w:r w:rsidRPr="00C02C56">
        <w:rPr>
          <w:rtl/>
        </w:rPr>
        <w:t xml:space="preserve"> </w:t>
      </w:r>
      <w:r w:rsidRPr="00C02C56">
        <w:rPr>
          <w:rFonts w:hint="eastAsia"/>
          <w:rtl/>
        </w:rPr>
        <w:t>על</w:t>
      </w:r>
      <w:r w:rsidRPr="00C02C56">
        <w:rPr>
          <w:rtl/>
        </w:rPr>
        <w:t xml:space="preserve"> </w:t>
      </w:r>
      <w:r w:rsidRPr="00C02C56">
        <w:rPr>
          <w:rFonts w:hint="eastAsia"/>
          <w:rtl/>
        </w:rPr>
        <w:t>מגבלת</w:t>
      </w:r>
      <w:r w:rsidRPr="00C02C56">
        <w:rPr>
          <w:rtl/>
        </w:rPr>
        <w:t xml:space="preserve"> </w:t>
      </w:r>
      <w:r w:rsidRPr="00C02C56">
        <w:rPr>
          <w:rFonts w:hint="eastAsia"/>
          <w:rtl/>
        </w:rPr>
        <w:t>העמודים</w:t>
      </w:r>
      <w:r w:rsidRPr="00C02C56">
        <w:rPr>
          <w:rtl/>
        </w:rPr>
        <w:t xml:space="preserve"> </w:t>
      </w:r>
      <w:r w:rsidRPr="00C02C56">
        <w:rPr>
          <w:rFonts w:hint="eastAsia"/>
          <w:rtl/>
        </w:rPr>
        <w:t>הקבועה</w:t>
      </w:r>
      <w:r w:rsidRPr="00C02C56">
        <w:rPr>
          <w:rtl/>
        </w:rPr>
        <w:t xml:space="preserve"> </w:t>
      </w:r>
      <w:r w:rsidRPr="00C02C56">
        <w:rPr>
          <w:rFonts w:hint="eastAsia"/>
          <w:rtl/>
        </w:rPr>
        <w:t>בתקנות</w:t>
      </w:r>
      <w:r w:rsidRPr="00C02C56">
        <w:rPr>
          <w:rtl/>
        </w:rPr>
        <w:t xml:space="preserve">. </w:t>
      </w:r>
      <w:r>
        <w:rPr>
          <w:rFonts w:hint="cs"/>
          <w:rtl/>
        </w:rPr>
        <w:t xml:space="preserve"> </w:t>
      </w:r>
    </w:p>
    <w:p w:rsidR="00F20723" w:rsidRDefault="00F20723" w:rsidP="00F20723">
      <w:pPr>
        <w:pStyle w:val="Ruller41"/>
        <w:rPr>
          <w:rtl/>
        </w:rPr>
      </w:pPr>
    </w:p>
    <w:p w:rsidR="00F20723" w:rsidRPr="00E6680E" w:rsidRDefault="00F20723" w:rsidP="00F20723">
      <w:pPr>
        <w:pStyle w:val="Ruller41"/>
        <w:rPr>
          <w:rFonts w:ascii="Miriam" w:hAnsi="Miriam" w:cs="Miriam"/>
          <w:sz w:val="20"/>
          <w:szCs w:val="24"/>
          <w:rtl/>
        </w:rPr>
      </w:pPr>
      <w:r w:rsidRPr="00E6680E">
        <w:rPr>
          <w:rFonts w:ascii="Miriam" w:hAnsi="Miriam" w:cs="Miriam"/>
          <w:sz w:val="20"/>
          <w:szCs w:val="24"/>
          <w:rtl/>
        </w:rPr>
        <w:t>רקע – הגבלת היקף כתבי טענות בתקנות סדר הדין האזרחי</w:t>
      </w:r>
      <w:r>
        <w:rPr>
          <w:rFonts w:ascii="Miriam" w:hAnsi="Miriam" w:cs="Miriam" w:hint="cs"/>
          <w:sz w:val="20"/>
          <w:szCs w:val="24"/>
          <w:rtl/>
        </w:rPr>
        <w:t xml:space="preserve"> החדשות</w:t>
      </w:r>
    </w:p>
    <w:p w:rsidR="00F20723" w:rsidRDefault="00F20723" w:rsidP="00F20723">
      <w:pPr>
        <w:pStyle w:val="Ruller41"/>
        <w:rPr>
          <w:rtl/>
        </w:rPr>
      </w:pPr>
    </w:p>
    <w:p w:rsidR="00F20723" w:rsidRDefault="00F20723" w:rsidP="00316FA9">
      <w:pPr>
        <w:pStyle w:val="Ruller41"/>
        <w:rPr>
          <w:rtl/>
        </w:rPr>
      </w:pPr>
      <w:r>
        <w:rPr>
          <w:rFonts w:hint="cs"/>
          <w:rtl/>
        </w:rPr>
        <w:t>2.</w:t>
      </w:r>
      <w:r>
        <w:rPr>
          <w:rtl/>
        </w:rPr>
        <w:tab/>
      </w:r>
      <w:r>
        <w:rPr>
          <w:rFonts w:hint="cs"/>
          <w:rtl/>
        </w:rPr>
        <w:t xml:space="preserve">ביום 1.1.2021 נפל דבר עם כניסתן לתוקף של תקנות סדר הדין החדשות. </w:t>
      </w:r>
      <w:r w:rsidR="009820AE">
        <w:rPr>
          <w:rFonts w:hint="cs"/>
          <w:rtl/>
        </w:rPr>
        <w:t xml:space="preserve">הרפורמה </w:t>
      </w:r>
      <w:r w:rsidR="00316FA9">
        <w:rPr>
          <w:rFonts w:hint="cs"/>
          <w:rtl/>
        </w:rPr>
        <w:t>בסדרי הדין האזרחי</w:t>
      </w:r>
      <w:r w:rsidR="009820AE">
        <w:rPr>
          <w:rFonts w:hint="cs"/>
          <w:rtl/>
        </w:rPr>
        <w:t xml:space="preserve"> המעוגנת בתקנות</w:t>
      </w:r>
      <w:r>
        <w:rPr>
          <w:rFonts w:hint="cs"/>
          <w:rtl/>
        </w:rPr>
        <w:t xml:space="preserve"> "</w:t>
      </w:r>
      <w:r>
        <w:rPr>
          <w:rFonts w:hint="eastAsia"/>
          <w:rtl/>
        </w:rPr>
        <w:t>נועדה</w:t>
      </w:r>
      <w:r>
        <w:rPr>
          <w:rtl/>
        </w:rPr>
        <w:t xml:space="preserve"> </w:t>
      </w:r>
      <w:r>
        <w:rPr>
          <w:rFonts w:hint="eastAsia"/>
          <w:rtl/>
        </w:rPr>
        <w:t>לעצב</w:t>
      </w:r>
      <w:r>
        <w:rPr>
          <w:rtl/>
        </w:rPr>
        <w:t xml:space="preserve"> </w:t>
      </w:r>
      <w:r>
        <w:rPr>
          <w:rFonts w:hint="eastAsia"/>
          <w:rtl/>
        </w:rPr>
        <w:t>הסדר</w:t>
      </w:r>
      <w:r>
        <w:rPr>
          <w:rtl/>
        </w:rPr>
        <w:t xml:space="preserve"> </w:t>
      </w:r>
      <w:r>
        <w:rPr>
          <w:rFonts w:hint="eastAsia"/>
          <w:rtl/>
        </w:rPr>
        <w:t>חדש</w:t>
      </w:r>
      <w:r>
        <w:rPr>
          <w:rtl/>
        </w:rPr>
        <w:t xml:space="preserve"> </w:t>
      </w:r>
      <w:r>
        <w:rPr>
          <w:rFonts w:hint="eastAsia"/>
          <w:rtl/>
        </w:rPr>
        <w:t>שיהיה</w:t>
      </w:r>
      <w:r>
        <w:rPr>
          <w:rtl/>
        </w:rPr>
        <w:t xml:space="preserve"> </w:t>
      </w:r>
      <w:r>
        <w:rPr>
          <w:rFonts w:hint="eastAsia"/>
          <w:rtl/>
        </w:rPr>
        <w:t>בו</w:t>
      </w:r>
      <w:r>
        <w:rPr>
          <w:rtl/>
        </w:rPr>
        <w:t xml:space="preserve"> </w:t>
      </w:r>
      <w:r>
        <w:rPr>
          <w:rFonts w:hint="eastAsia"/>
          <w:rtl/>
        </w:rPr>
        <w:t>כדי</w:t>
      </w:r>
      <w:r>
        <w:rPr>
          <w:rtl/>
        </w:rPr>
        <w:t xml:space="preserve"> </w:t>
      </w:r>
      <w:r>
        <w:rPr>
          <w:rFonts w:hint="eastAsia"/>
          <w:rtl/>
        </w:rPr>
        <w:t>להחזיר</w:t>
      </w:r>
      <w:r>
        <w:rPr>
          <w:rtl/>
        </w:rPr>
        <w:t xml:space="preserve"> </w:t>
      </w:r>
      <w:r>
        <w:rPr>
          <w:rFonts w:hint="eastAsia"/>
          <w:rtl/>
        </w:rPr>
        <w:t>את</w:t>
      </w:r>
      <w:r>
        <w:rPr>
          <w:rtl/>
        </w:rPr>
        <w:t xml:space="preserve"> </w:t>
      </w:r>
      <w:r>
        <w:rPr>
          <w:rFonts w:hint="eastAsia"/>
          <w:rtl/>
        </w:rPr>
        <w:t>מעמד</w:t>
      </w:r>
      <w:r>
        <w:rPr>
          <w:rtl/>
        </w:rPr>
        <w:t xml:space="preserve"> </w:t>
      </w:r>
      <w:r>
        <w:rPr>
          <w:rFonts w:hint="eastAsia"/>
          <w:rtl/>
        </w:rPr>
        <w:t>תקנות</w:t>
      </w:r>
      <w:r>
        <w:rPr>
          <w:rtl/>
        </w:rPr>
        <w:t xml:space="preserve"> </w:t>
      </w:r>
      <w:r>
        <w:rPr>
          <w:rFonts w:hint="eastAsia"/>
          <w:rtl/>
        </w:rPr>
        <w:t>סדר</w:t>
      </w:r>
      <w:r>
        <w:rPr>
          <w:rtl/>
        </w:rPr>
        <w:t xml:space="preserve"> </w:t>
      </w:r>
      <w:r>
        <w:rPr>
          <w:rFonts w:hint="eastAsia"/>
          <w:rtl/>
        </w:rPr>
        <w:t>הדין</w:t>
      </w:r>
      <w:r>
        <w:rPr>
          <w:rFonts w:hint="cs"/>
          <w:rtl/>
        </w:rPr>
        <w:t xml:space="preserve"> </w:t>
      </w:r>
      <w:r>
        <w:rPr>
          <w:rFonts w:hint="eastAsia"/>
          <w:rtl/>
        </w:rPr>
        <w:t>האזרחי</w:t>
      </w:r>
      <w:r>
        <w:rPr>
          <w:rtl/>
        </w:rPr>
        <w:t xml:space="preserve"> </w:t>
      </w:r>
      <w:r>
        <w:rPr>
          <w:rFonts w:hint="eastAsia"/>
          <w:rtl/>
        </w:rPr>
        <w:t>ככלי</w:t>
      </w:r>
      <w:r>
        <w:rPr>
          <w:rtl/>
        </w:rPr>
        <w:t xml:space="preserve"> </w:t>
      </w:r>
      <w:r>
        <w:rPr>
          <w:rFonts w:hint="eastAsia"/>
          <w:rtl/>
        </w:rPr>
        <w:t>מרכזי</w:t>
      </w:r>
      <w:r>
        <w:rPr>
          <w:rtl/>
        </w:rPr>
        <w:t xml:space="preserve"> </w:t>
      </w:r>
      <w:r>
        <w:rPr>
          <w:rFonts w:hint="eastAsia"/>
          <w:rtl/>
        </w:rPr>
        <w:t>וחשוב</w:t>
      </w:r>
      <w:r>
        <w:rPr>
          <w:rtl/>
        </w:rPr>
        <w:t xml:space="preserve"> </w:t>
      </w:r>
      <w:r>
        <w:rPr>
          <w:rFonts w:hint="eastAsia"/>
          <w:rtl/>
        </w:rPr>
        <w:t>לניהול</w:t>
      </w:r>
      <w:r>
        <w:rPr>
          <w:rtl/>
        </w:rPr>
        <w:t xml:space="preserve"> </w:t>
      </w:r>
      <w:r>
        <w:rPr>
          <w:rFonts w:hint="eastAsia"/>
          <w:rtl/>
        </w:rPr>
        <w:t>סדרי</w:t>
      </w:r>
      <w:r>
        <w:rPr>
          <w:rtl/>
        </w:rPr>
        <w:t xml:space="preserve"> </w:t>
      </w:r>
      <w:r>
        <w:rPr>
          <w:rFonts w:hint="eastAsia"/>
          <w:rtl/>
        </w:rPr>
        <w:t>המשפטים</w:t>
      </w:r>
      <w:r>
        <w:rPr>
          <w:rtl/>
        </w:rPr>
        <w:t xml:space="preserve"> </w:t>
      </w:r>
      <w:r>
        <w:rPr>
          <w:rFonts w:hint="eastAsia"/>
          <w:rtl/>
        </w:rPr>
        <w:t>האזרחיים</w:t>
      </w:r>
      <w:r>
        <w:rPr>
          <w:rtl/>
        </w:rPr>
        <w:t xml:space="preserve">, </w:t>
      </w:r>
      <w:r>
        <w:rPr>
          <w:rFonts w:hint="eastAsia"/>
          <w:rtl/>
        </w:rPr>
        <w:t>במטרה</w:t>
      </w:r>
      <w:r>
        <w:rPr>
          <w:rtl/>
        </w:rPr>
        <w:t xml:space="preserve"> </w:t>
      </w:r>
      <w:r>
        <w:rPr>
          <w:rFonts w:hint="eastAsia"/>
          <w:rtl/>
        </w:rPr>
        <w:t>לייעל</w:t>
      </w:r>
      <w:r>
        <w:rPr>
          <w:rtl/>
        </w:rPr>
        <w:t xml:space="preserve">, </w:t>
      </w:r>
      <w:r>
        <w:rPr>
          <w:rFonts w:hint="eastAsia"/>
          <w:rtl/>
        </w:rPr>
        <w:t>לפשט</w:t>
      </w:r>
      <w:r>
        <w:rPr>
          <w:rtl/>
        </w:rPr>
        <w:t xml:space="preserve"> </w:t>
      </w:r>
      <w:r>
        <w:rPr>
          <w:rFonts w:hint="eastAsia"/>
          <w:rtl/>
        </w:rPr>
        <w:t>ולקצר</w:t>
      </w:r>
      <w:r>
        <w:rPr>
          <w:rtl/>
        </w:rPr>
        <w:t xml:space="preserve"> </w:t>
      </w:r>
      <w:r>
        <w:rPr>
          <w:rFonts w:hint="eastAsia"/>
          <w:rtl/>
        </w:rPr>
        <w:t>את</w:t>
      </w:r>
      <w:r>
        <w:rPr>
          <w:rtl/>
        </w:rPr>
        <w:t xml:space="preserve"> </w:t>
      </w:r>
      <w:r>
        <w:rPr>
          <w:rFonts w:hint="eastAsia"/>
          <w:rtl/>
        </w:rPr>
        <w:t>ההליכים</w:t>
      </w:r>
      <w:r>
        <w:rPr>
          <w:rFonts w:hint="cs"/>
          <w:rtl/>
        </w:rPr>
        <w:t xml:space="preserve"> </w:t>
      </w:r>
      <w:r>
        <w:rPr>
          <w:rFonts w:hint="eastAsia"/>
          <w:rtl/>
        </w:rPr>
        <w:t>האזרחיים</w:t>
      </w:r>
      <w:r>
        <w:rPr>
          <w:rtl/>
        </w:rPr>
        <w:t xml:space="preserve">, </w:t>
      </w:r>
      <w:r>
        <w:rPr>
          <w:rFonts w:hint="eastAsia"/>
          <w:rtl/>
        </w:rPr>
        <w:t>תוך</w:t>
      </w:r>
      <w:r>
        <w:rPr>
          <w:rtl/>
        </w:rPr>
        <w:t xml:space="preserve"> </w:t>
      </w:r>
      <w:r>
        <w:rPr>
          <w:rFonts w:hint="eastAsia"/>
          <w:rtl/>
        </w:rPr>
        <w:t>עשיית</w:t>
      </w:r>
      <w:r>
        <w:rPr>
          <w:rtl/>
        </w:rPr>
        <w:t xml:space="preserve"> </w:t>
      </w:r>
      <w:r>
        <w:rPr>
          <w:rFonts w:hint="eastAsia"/>
          <w:rtl/>
        </w:rPr>
        <w:t>צדק</w:t>
      </w:r>
      <w:r>
        <w:rPr>
          <w:rtl/>
        </w:rPr>
        <w:t xml:space="preserve"> </w:t>
      </w:r>
      <w:r>
        <w:rPr>
          <w:rFonts w:hint="eastAsia"/>
          <w:rtl/>
        </w:rPr>
        <w:t>במסגרת</w:t>
      </w:r>
      <w:r>
        <w:rPr>
          <w:rtl/>
        </w:rPr>
        <w:t xml:space="preserve"> </w:t>
      </w:r>
      <w:r>
        <w:rPr>
          <w:rFonts w:hint="eastAsia"/>
          <w:rtl/>
        </w:rPr>
        <w:t>קיומו</w:t>
      </w:r>
      <w:r>
        <w:rPr>
          <w:rtl/>
        </w:rPr>
        <w:t xml:space="preserve"> </w:t>
      </w:r>
      <w:r>
        <w:rPr>
          <w:rFonts w:hint="eastAsia"/>
          <w:rtl/>
        </w:rPr>
        <w:t>של</w:t>
      </w:r>
      <w:r>
        <w:rPr>
          <w:rtl/>
        </w:rPr>
        <w:t xml:space="preserve"> </w:t>
      </w:r>
      <w:r>
        <w:rPr>
          <w:rFonts w:hint="eastAsia"/>
          <w:rtl/>
        </w:rPr>
        <w:t>הליך</w:t>
      </w:r>
      <w:r>
        <w:rPr>
          <w:rtl/>
        </w:rPr>
        <w:t xml:space="preserve"> </w:t>
      </w:r>
      <w:r>
        <w:rPr>
          <w:rFonts w:hint="eastAsia"/>
          <w:rtl/>
        </w:rPr>
        <w:t>ראוי</w:t>
      </w:r>
      <w:r>
        <w:rPr>
          <w:rtl/>
        </w:rPr>
        <w:t xml:space="preserve"> </w:t>
      </w:r>
      <w:r>
        <w:rPr>
          <w:rFonts w:hint="eastAsia"/>
          <w:rtl/>
        </w:rPr>
        <w:t>והוגן</w:t>
      </w:r>
      <w:r>
        <w:rPr>
          <w:rFonts w:hint="cs"/>
          <w:rtl/>
        </w:rPr>
        <w:t xml:space="preserve">" (ראו דברי ההסבר לתקנות סדר הדין האזרחי, </w:t>
      </w:r>
      <w:r>
        <w:rPr>
          <w:rFonts w:hint="cs"/>
          <w:rtl/>
        </w:rPr>
        <w:lastRenderedPageBreak/>
        <w:t>התשע"ט-2018, בעמ' 1; דברי ההסבר פורסמו באתר האינטרנט של משרד המשפטים, כאן:</w:t>
      </w:r>
      <w:r>
        <w:rPr>
          <w:rFonts w:hint="cs"/>
          <w:sz w:val="20"/>
          <w:szCs w:val="26"/>
          <w:rtl/>
        </w:rPr>
        <w:t xml:space="preserve"> </w:t>
      </w:r>
      <w:hyperlink r:id="rId8" w:history="1">
        <w:r w:rsidRPr="004A25A4">
          <w:rPr>
            <w:rStyle w:val="Hyperlink"/>
            <w:sz w:val="20"/>
            <w:szCs w:val="26"/>
          </w:rPr>
          <w:t>https://www.gov.il/he/departments/news/16122020</w:t>
        </w:r>
      </w:hyperlink>
      <w:r>
        <w:rPr>
          <w:rFonts w:hint="cs"/>
          <w:rtl/>
        </w:rPr>
        <w:t xml:space="preserve">; להלן: </w:t>
      </w:r>
      <w:r w:rsidRPr="004A25A4">
        <w:rPr>
          <w:rFonts w:ascii="Miriam" w:hAnsi="Miriam" w:cs="Miriam"/>
          <w:sz w:val="20"/>
          <w:szCs w:val="24"/>
          <w:rtl/>
        </w:rPr>
        <w:t>דברי ההסבר לתקנות</w:t>
      </w:r>
      <w:r>
        <w:rPr>
          <w:rFonts w:hint="cs"/>
          <w:rtl/>
        </w:rPr>
        <w:t>)</w:t>
      </w:r>
      <w:r>
        <w:rPr>
          <w:rtl/>
        </w:rPr>
        <w:t xml:space="preserve">. </w:t>
      </w:r>
      <w:r>
        <w:rPr>
          <w:rFonts w:hint="cs"/>
          <w:rtl/>
        </w:rPr>
        <w:t xml:space="preserve">אחד הנדבכים המרכזיים של הרפורמה עניינו בקביעת מדדי זמן וכמויות. לראשונה נקצבו בסדרי הדין בישראל היקפים מקסימליים (במספרי עמודים) של חלק מכתבי הטענות שניתן להגיש בהליכים אזרחיים. חידוש זה בא על רקע השתרשות התופעה של ניסוח כתבי טענות באופן מסורבל על פני עמודים רבים ובאופן החורג מהוראות התקנות אשר קבעו בשעתו כי יש לנסח כתבי טענות שונים באופן תמציתי (ראו למשל, תקנות 403 ו-414 לתקנות סדר הדין האזרחי, התשמ"ד-1984, בהן נקבע כי הודעת ערעור בזכות ובקשת רשות ערעור ינוסחו בתמציתיות). על תופעה זו, על השלכותיה ועל הסיבות האפשריות לה, עמד כבר לפני כעשור שנים כב' השופט (כתוארו דאז) </w:t>
      </w:r>
      <w:r w:rsidRPr="00E6680E">
        <w:rPr>
          <w:rFonts w:ascii="Miriam" w:hAnsi="Miriam" w:cs="Miriam"/>
          <w:sz w:val="18"/>
          <w:szCs w:val="22"/>
          <w:rtl/>
        </w:rPr>
        <w:t xml:space="preserve">א' גרוניס </w:t>
      </w:r>
      <w:proofErr w:type="spellStart"/>
      <w:r>
        <w:rPr>
          <w:rFonts w:hint="cs"/>
          <w:rtl/>
        </w:rPr>
        <w:t>ברע"א</w:t>
      </w:r>
      <w:proofErr w:type="spellEnd"/>
      <w:r>
        <w:rPr>
          <w:rFonts w:hint="cs"/>
          <w:rtl/>
        </w:rPr>
        <w:t xml:space="preserve"> 615/11 </w:t>
      </w:r>
      <w:r w:rsidRPr="00E6680E">
        <w:rPr>
          <w:rFonts w:ascii="Miriam" w:hAnsi="Miriam" w:cs="Miriam"/>
          <w:sz w:val="18"/>
          <w:szCs w:val="22"/>
          <w:rtl/>
        </w:rPr>
        <w:t xml:space="preserve">סופר </w:t>
      </w:r>
      <w:proofErr w:type="spellStart"/>
      <w:r w:rsidRPr="00E6680E">
        <w:rPr>
          <w:rFonts w:ascii="Miriam" w:hAnsi="Miriam" w:cs="Miriam"/>
          <w:sz w:val="18"/>
          <w:szCs w:val="22"/>
          <w:rtl/>
        </w:rPr>
        <w:t>מדיק</w:t>
      </w:r>
      <w:proofErr w:type="spellEnd"/>
      <w:r w:rsidRPr="00E6680E">
        <w:rPr>
          <w:rFonts w:ascii="Miriam" w:hAnsi="Miriam" w:cs="Miriam"/>
          <w:sz w:val="18"/>
          <w:szCs w:val="22"/>
          <w:rtl/>
        </w:rPr>
        <w:t xml:space="preserve"> (</w:t>
      </w:r>
      <w:proofErr w:type="spellStart"/>
      <w:r w:rsidRPr="00E6680E">
        <w:rPr>
          <w:rFonts w:ascii="Miriam" w:hAnsi="Miriam" w:cs="Miriam"/>
          <w:sz w:val="18"/>
          <w:szCs w:val="22"/>
          <w:rtl/>
        </w:rPr>
        <w:t>מדיק</w:t>
      </w:r>
      <w:proofErr w:type="spellEnd"/>
      <w:r w:rsidRPr="00E6680E">
        <w:rPr>
          <w:rFonts w:ascii="Miriam" w:hAnsi="Miriam" w:cs="Miriam"/>
          <w:sz w:val="18"/>
          <w:szCs w:val="22"/>
          <w:rtl/>
        </w:rPr>
        <w:t xml:space="preserve"> לייט) נ' </w:t>
      </w:r>
      <w:r w:rsidRPr="00E6680E">
        <w:rPr>
          <w:rFonts w:ascii="Miriam" w:hAnsi="Miriam" w:cs="Miriam"/>
          <w:sz w:val="18"/>
          <w:szCs w:val="22"/>
        </w:rPr>
        <w:t>ANTON HUBNER CMBH &amp;CO. KG</w:t>
      </w:r>
      <w:r>
        <w:rPr>
          <w:rFonts w:hint="cs"/>
          <w:rtl/>
        </w:rPr>
        <w:t xml:space="preserve"> (27.3.2011):</w:t>
      </w:r>
    </w:p>
    <w:p w:rsidR="00F20723" w:rsidRDefault="00F20723" w:rsidP="00F20723">
      <w:pPr>
        <w:pStyle w:val="Ruller41"/>
        <w:rPr>
          <w:rtl/>
        </w:rPr>
      </w:pPr>
    </w:p>
    <w:p w:rsidR="00F20723" w:rsidRPr="00107036" w:rsidRDefault="00F20723" w:rsidP="00F20723">
      <w:pPr>
        <w:pStyle w:val="ruller50"/>
        <w:bidi/>
        <w:spacing w:before="0" w:beforeAutospacing="0" w:after="0" w:afterAutospacing="0"/>
        <w:ind w:left="1642" w:right="1282"/>
        <w:jc w:val="both"/>
        <w:rPr>
          <w:rFonts w:ascii="Arial TUR" w:hAnsi="Arial TUR" w:cs="Arial TUR"/>
          <w:color w:val="000000"/>
          <w:spacing w:val="10"/>
          <w:sz w:val="22"/>
          <w:szCs w:val="22"/>
          <w:rtl/>
        </w:rPr>
      </w:pPr>
      <w:r w:rsidRPr="00107036">
        <w:rPr>
          <w:rFonts w:ascii="FrankRuehl" w:hAnsi="FrankRuehl" w:cs="FrankRuehl"/>
          <w:color w:val="000000"/>
          <w:spacing w:val="10"/>
          <w:sz w:val="28"/>
          <w:szCs w:val="28"/>
          <w:rtl/>
        </w:rPr>
        <w:t>"</w:t>
      </w:r>
      <w:r w:rsidRPr="00E6680E">
        <w:rPr>
          <w:rFonts w:ascii="FrankRuehl" w:hAnsi="FrankRuehl" w:cs="FrankRuehl" w:hint="eastAsia"/>
          <w:color w:val="000000"/>
          <w:spacing w:val="10"/>
          <w:sz w:val="28"/>
          <w:szCs w:val="28"/>
          <w:rtl/>
        </w:rPr>
        <w:t>כל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המצוי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בנעשה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בבתי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המשפט</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מודע</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לכך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שבצד</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גידול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במשקל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הסגולי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הליכים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ובלא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קשר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למספרם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ההליכים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המוגשים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קיימת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תופעה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כתבי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טענות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תצהירים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נספחים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וכיו</w:t>
      </w:r>
      <w:r w:rsidRPr="00E6680E">
        <w:rPr>
          <w:rFonts w:ascii="FrankRuehl" w:hAnsi="FrankRuehl" w:cs="FrankRuehl"/>
          <w:color w:val="000000"/>
          <w:spacing w:val="10"/>
          <w:sz w:val="28"/>
          <w:szCs w:val="28"/>
          <w:rtl/>
        </w:rPr>
        <w:t>"</w:t>
      </w:r>
      <w:r w:rsidRPr="00E6680E">
        <w:rPr>
          <w:rFonts w:ascii="FrankRuehl" w:hAnsi="FrankRuehl" w:cs="FrankRuehl" w:hint="eastAsia"/>
          <w:color w:val="000000"/>
          <w:spacing w:val="10"/>
          <w:sz w:val="28"/>
          <w:szCs w:val="28"/>
          <w:rtl/>
        </w:rPr>
        <w:t>ב</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המשתרעים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פני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עוד</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ועוד</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עמודים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נתקלים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אנו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בעלי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היקף</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גדל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והולך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במילים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אחרות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הניירת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מתרבה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ומתרבה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שאלה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מעניינת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הסיבה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לגידול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הנמשך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בהיקפם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המוגשים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יהיו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כאלה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שיאמרו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שהאשם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הוא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באמצעים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הטכנולוגיים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המשתכללים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מעת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לעת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מכונות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צילום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מהירות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ומחשבים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לרבות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האפשרות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Pr>
          <w:rFonts w:ascii="FrankRuehl" w:hAnsi="FrankRuehl" w:cs="FrankRuehl" w:hint="cs"/>
          <w:color w:val="000000"/>
          <w:spacing w:val="10"/>
          <w:sz w:val="28"/>
          <w:szCs w:val="28"/>
          <w:rtl/>
        </w:rPr>
        <w:t>'</w:t>
      </w:r>
      <w:r w:rsidRPr="00E6680E">
        <w:rPr>
          <w:rFonts w:ascii="FrankRuehl" w:hAnsi="FrankRuehl" w:cs="FrankRuehl" w:hint="eastAsia"/>
          <w:color w:val="000000"/>
          <w:spacing w:val="10"/>
          <w:sz w:val="28"/>
          <w:szCs w:val="28"/>
          <w:rtl/>
        </w:rPr>
        <w:t>גזור</w:t>
      </w:r>
      <w:r>
        <w:rPr>
          <w:rFonts w:ascii="FrankRuehl" w:hAnsi="FrankRuehl" w:cs="FrankRuehl" w:hint="cs"/>
          <w:color w:val="000000"/>
          <w:spacing w:val="10"/>
          <w:sz w:val="28"/>
          <w:szCs w:val="28"/>
          <w:rtl/>
        </w:rPr>
        <w:t>'</w:t>
      </w:r>
      <w:r w:rsidRPr="00E6680E">
        <w:rPr>
          <w:rFonts w:ascii="FrankRuehl" w:hAnsi="FrankRuehl" w:cs="FrankRuehl"/>
          <w:color w:val="000000"/>
          <w:spacing w:val="10"/>
          <w:sz w:val="28"/>
          <w:szCs w:val="28"/>
          <w:rtl/>
        </w:rPr>
        <w:t xml:space="preserve"> (</w:t>
      </w:r>
      <w:r w:rsidRPr="00E6680E">
        <w:rPr>
          <w:rFonts w:ascii="FrankRuehl" w:hAnsi="FrankRuehl" w:cs="FrankRuehl"/>
          <w:color w:val="000000"/>
          <w:spacing w:val="10"/>
        </w:rPr>
        <w:t>cut</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w:t>
      </w:r>
      <w:r>
        <w:rPr>
          <w:rFonts w:ascii="FrankRuehl" w:hAnsi="FrankRuehl" w:cs="FrankRuehl" w:hint="cs"/>
          <w:color w:val="000000"/>
          <w:spacing w:val="10"/>
          <w:sz w:val="28"/>
          <w:szCs w:val="28"/>
          <w:rtl/>
        </w:rPr>
        <w:t>'</w:t>
      </w:r>
      <w:r w:rsidRPr="00E6680E">
        <w:rPr>
          <w:rFonts w:ascii="FrankRuehl" w:hAnsi="FrankRuehl" w:cs="FrankRuehl" w:hint="eastAsia"/>
          <w:color w:val="000000"/>
          <w:spacing w:val="10"/>
          <w:sz w:val="28"/>
          <w:szCs w:val="28"/>
          <w:rtl/>
        </w:rPr>
        <w:t>הדבק</w:t>
      </w:r>
      <w:r>
        <w:rPr>
          <w:rFonts w:ascii="FrankRuehl" w:hAnsi="FrankRuehl" w:cs="FrankRuehl" w:hint="cs"/>
          <w:color w:val="000000"/>
          <w:spacing w:val="10"/>
          <w:sz w:val="28"/>
          <w:szCs w:val="28"/>
          <w:rtl/>
        </w:rPr>
        <w:t>'</w:t>
      </w:r>
      <w:r w:rsidRPr="00E6680E">
        <w:rPr>
          <w:rFonts w:ascii="FrankRuehl" w:hAnsi="FrankRuehl" w:cs="FrankRuehl"/>
          <w:color w:val="000000"/>
          <w:spacing w:val="10"/>
          <w:sz w:val="28"/>
          <w:szCs w:val="28"/>
          <w:rtl/>
        </w:rPr>
        <w:t xml:space="preserve"> (</w:t>
      </w:r>
      <w:r w:rsidRPr="00E6680E">
        <w:rPr>
          <w:rFonts w:ascii="FrankRuehl" w:hAnsi="FrankRuehl" w:cs="FrankRuehl"/>
          <w:color w:val="000000"/>
          <w:spacing w:val="10"/>
        </w:rPr>
        <w:t>paste</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ניתן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להעלות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השערות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נוספות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לגבי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הסיבות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לתופעה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דומה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ניתן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לחלוק</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עצם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קיומה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אילו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נעשתה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בדיקה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השוואתית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ספק</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שהממצא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הברור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שכתב</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טענות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ממוצע</w:t>
      </w:r>
      <w:r w:rsidRPr="00E6680E">
        <w:rPr>
          <w:rFonts w:ascii="FrankRuehl" w:hAnsi="FrankRuehl" w:cs="FrankRuehl"/>
          <w:color w:val="000000"/>
          <w:spacing w:val="10"/>
          <w:sz w:val="28"/>
          <w:szCs w:val="28"/>
          <w:rtl/>
        </w:rPr>
        <w:t xml:space="preserve"> </w:t>
      </w:r>
      <w:proofErr w:type="spellStart"/>
      <w:r w:rsidRPr="00E6680E">
        <w:rPr>
          <w:rFonts w:ascii="FrankRuehl" w:hAnsi="FrankRuehl" w:cs="FrankRuehl" w:hint="eastAsia"/>
          <w:color w:val="000000"/>
          <w:spacing w:val="10"/>
          <w:sz w:val="28"/>
          <w:szCs w:val="28"/>
          <w:rtl/>
        </w:rPr>
        <w:t>דהיום</w:t>
      </w:r>
      <w:proofErr w:type="spellEnd"/>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הינו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ארוך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בהרבה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מזה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שהיה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מוגש</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לפני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שנים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תלונה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חוזרת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ונשנית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שופטים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ומדובר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בתלונה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מוצדקת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לעתים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מוגשים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כתבי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טענות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ושאר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באורך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בלתי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סביר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יש</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אף</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הטוענים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במידה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מסוימת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בדיחות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המהולה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ברצינות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שיש</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למדוד</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פי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משקלם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ולא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במספר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העמודים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בכוונתי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לומר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שהדבר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קורה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בכל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הליך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ספק</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שהתופעה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קיימת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ומתגברת</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ומכבידה</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תפקודם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בתי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המשפט</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להלין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על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כך</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באופן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כללי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אלא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באותם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מקרים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והם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אינם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מעטים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בהם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מִתאם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בין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המשקל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הסגולי</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העניין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לבין</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היקפם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המוגשים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היינו</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כאשר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אורכם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המסמכים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שלא</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לומר</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משקלם</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חורג</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מכל</w:t>
      </w:r>
      <w:r w:rsidRPr="00E6680E">
        <w:rPr>
          <w:rFonts w:ascii="FrankRuehl" w:hAnsi="FrankRuehl" w:cs="FrankRuehl"/>
          <w:color w:val="000000"/>
          <w:spacing w:val="10"/>
          <w:sz w:val="28"/>
          <w:szCs w:val="28"/>
          <w:rtl/>
        </w:rPr>
        <w:t xml:space="preserve"> </w:t>
      </w:r>
      <w:r w:rsidRPr="00E6680E">
        <w:rPr>
          <w:rFonts w:ascii="FrankRuehl" w:hAnsi="FrankRuehl" w:cs="FrankRuehl" w:hint="eastAsia"/>
          <w:color w:val="000000"/>
          <w:spacing w:val="10"/>
          <w:sz w:val="28"/>
          <w:szCs w:val="28"/>
          <w:rtl/>
        </w:rPr>
        <w:t>פרופורציה</w:t>
      </w:r>
      <w:r w:rsidRPr="00E6680E">
        <w:rPr>
          <w:rFonts w:ascii="FrankRuehl" w:hAnsi="FrankRuehl" w:cs="FrankRuehl"/>
          <w:color w:val="000000"/>
          <w:spacing w:val="10"/>
          <w:sz w:val="28"/>
          <w:szCs w:val="28"/>
          <w:rtl/>
        </w:rPr>
        <w:t>.</w:t>
      </w:r>
      <w:r>
        <w:rPr>
          <w:rFonts w:ascii="FrankRuehl" w:hAnsi="FrankRuehl" w:cs="FrankRuehl" w:hint="cs"/>
          <w:color w:val="000000"/>
          <w:spacing w:val="10"/>
          <w:sz w:val="28"/>
          <w:szCs w:val="28"/>
          <w:rtl/>
        </w:rPr>
        <w:t>" (</w:t>
      </w:r>
      <w:r w:rsidRPr="00E6680E">
        <w:rPr>
          <w:rFonts w:ascii="Miriam" w:hAnsi="Miriam" w:cs="Miriam"/>
          <w:color w:val="000000"/>
          <w:spacing w:val="10"/>
          <w:rtl/>
        </w:rPr>
        <w:t>שם</w:t>
      </w:r>
      <w:r>
        <w:rPr>
          <w:rFonts w:ascii="FrankRuehl" w:hAnsi="FrankRuehl" w:cs="FrankRuehl" w:hint="cs"/>
          <w:color w:val="000000"/>
          <w:spacing w:val="10"/>
          <w:sz w:val="28"/>
          <w:szCs w:val="28"/>
          <w:rtl/>
        </w:rPr>
        <w:t>, פיסקה 4)</w:t>
      </w:r>
      <w:r w:rsidRPr="00107036">
        <w:rPr>
          <w:rFonts w:ascii="FrankRuehl" w:hAnsi="FrankRuehl" w:cs="FrankRuehl"/>
          <w:color w:val="000000"/>
          <w:spacing w:val="10"/>
          <w:sz w:val="28"/>
          <w:szCs w:val="28"/>
          <w:rtl/>
        </w:rPr>
        <w:t>.</w:t>
      </w:r>
    </w:p>
    <w:p w:rsidR="00F20723" w:rsidRDefault="00F20723" w:rsidP="00F20723">
      <w:pPr>
        <w:pStyle w:val="Ruller41"/>
        <w:rPr>
          <w:rtl/>
        </w:rPr>
      </w:pPr>
    </w:p>
    <w:p w:rsidR="00F20723" w:rsidRDefault="00F20723" w:rsidP="00F20723">
      <w:pPr>
        <w:pStyle w:val="Ruller41"/>
        <w:rPr>
          <w:rtl/>
        </w:rPr>
      </w:pPr>
      <w:r>
        <w:rPr>
          <w:rtl/>
        </w:rPr>
        <w:tab/>
      </w:r>
      <w:r>
        <w:rPr>
          <w:rFonts w:hint="cs"/>
          <w:rtl/>
        </w:rPr>
        <w:t xml:space="preserve">(וראו גם, רע"א 1671/15 </w:t>
      </w:r>
      <w:proofErr w:type="spellStart"/>
      <w:r w:rsidRPr="000E6BE6">
        <w:rPr>
          <w:rFonts w:ascii="Miriam" w:hAnsi="Miriam" w:cs="Miriam"/>
          <w:sz w:val="20"/>
          <w:szCs w:val="24"/>
          <w:rtl/>
        </w:rPr>
        <w:t>אלמליח</w:t>
      </w:r>
      <w:proofErr w:type="spellEnd"/>
      <w:r w:rsidRPr="000E6BE6">
        <w:rPr>
          <w:rFonts w:ascii="Miriam" w:hAnsi="Miriam" w:cs="Miriam"/>
          <w:sz w:val="20"/>
          <w:szCs w:val="24"/>
          <w:rtl/>
        </w:rPr>
        <w:t xml:space="preserve"> נ' עיריית לוד</w:t>
      </w:r>
      <w:r>
        <w:rPr>
          <w:rFonts w:hint="cs"/>
          <w:rtl/>
        </w:rPr>
        <w:t xml:space="preserve">, פיסקה 8 (17.5.2015) (כב' השופט </w:t>
      </w:r>
      <w:r w:rsidRPr="000E6BE6">
        <w:rPr>
          <w:rFonts w:ascii="Miriam" w:hAnsi="Miriam" w:cs="Miriam"/>
          <w:sz w:val="20"/>
          <w:szCs w:val="24"/>
          <w:rtl/>
        </w:rPr>
        <w:t xml:space="preserve">צ' </w:t>
      </w:r>
      <w:proofErr w:type="spellStart"/>
      <w:r w:rsidRPr="000E6BE6">
        <w:rPr>
          <w:rFonts w:ascii="Miriam" w:hAnsi="Miriam" w:cs="Miriam"/>
          <w:sz w:val="20"/>
          <w:szCs w:val="24"/>
          <w:rtl/>
        </w:rPr>
        <w:t>זילברטל</w:t>
      </w:r>
      <w:proofErr w:type="spellEnd"/>
      <w:r>
        <w:rPr>
          <w:rFonts w:hint="cs"/>
          <w:rtl/>
        </w:rPr>
        <w:t xml:space="preserve">); רע"א 8565/18 </w:t>
      </w:r>
      <w:r w:rsidRPr="000E6BE6">
        <w:rPr>
          <w:rFonts w:ascii="Miriam" w:hAnsi="Miriam" w:cs="Miriam"/>
          <w:sz w:val="20"/>
          <w:szCs w:val="24"/>
          <w:rtl/>
        </w:rPr>
        <w:t>כהן נ' ס. בני הגליל (1991) בע"מ</w:t>
      </w:r>
      <w:r>
        <w:rPr>
          <w:rFonts w:hint="cs"/>
          <w:rtl/>
        </w:rPr>
        <w:t xml:space="preserve">, פיסקה 12 </w:t>
      </w:r>
      <w:r>
        <w:rPr>
          <w:rFonts w:hint="cs"/>
          <w:rtl/>
        </w:rPr>
        <w:lastRenderedPageBreak/>
        <w:t xml:space="preserve">(5.2.2019) (כב' השופט </w:t>
      </w:r>
      <w:r w:rsidRPr="000E6BE6">
        <w:rPr>
          <w:rFonts w:ascii="Miriam" w:hAnsi="Miriam" w:cs="Miriam"/>
          <w:sz w:val="20"/>
          <w:szCs w:val="24"/>
          <w:rtl/>
        </w:rPr>
        <w:t>ד' מינץ</w:t>
      </w:r>
      <w:r>
        <w:rPr>
          <w:rFonts w:hint="cs"/>
          <w:rtl/>
        </w:rPr>
        <w:t xml:space="preserve">); אורי גורן </w:t>
      </w:r>
      <w:r w:rsidRPr="000E6BE6">
        <w:rPr>
          <w:rFonts w:ascii="Miriam" w:hAnsi="Miriam" w:cs="Miriam"/>
          <w:sz w:val="20"/>
          <w:szCs w:val="24"/>
          <w:rtl/>
        </w:rPr>
        <w:t>סוגיות בסדר דין אזרחי</w:t>
      </w:r>
      <w:r w:rsidRPr="000E6BE6">
        <w:rPr>
          <w:rFonts w:hint="cs"/>
          <w:sz w:val="20"/>
          <w:szCs w:val="24"/>
          <w:rtl/>
        </w:rPr>
        <w:t xml:space="preserve">  </w:t>
      </w:r>
      <w:r>
        <w:rPr>
          <w:rFonts w:hint="cs"/>
          <w:rtl/>
        </w:rPr>
        <w:t xml:space="preserve">17 (מהדורה שלוש-עשרה, 2020); חמי בן נון וטל חבקין </w:t>
      </w:r>
      <w:r w:rsidRPr="000E6BE6">
        <w:rPr>
          <w:rFonts w:ascii="Miriam" w:hAnsi="Miriam" w:cs="Miriam"/>
          <w:sz w:val="20"/>
          <w:szCs w:val="24"/>
          <w:rtl/>
        </w:rPr>
        <w:t>הערעור האזרחי</w:t>
      </w:r>
      <w:r w:rsidRPr="000E6BE6">
        <w:rPr>
          <w:rFonts w:hint="cs"/>
          <w:sz w:val="20"/>
          <w:szCs w:val="24"/>
          <w:rtl/>
        </w:rPr>
        <w:t xml:space="preserve"> </w:t>
      </w:r>
      <w:r>
        <w:rPr>
          <w:rFonts w:hint="cs"/>
          <w:rtl/>
        </w:rPr>
        <w:t xml:space="preserve">362-361 (מהדורה שלישית, 2012)). </w:t>
      </w:r>
    </w:p>
    <w:p w:rsidR="00F20723" w:rsidRDefault="00F20723" w:rsidP="00F20723">
      <w:pPr>
        <w:pStyle w:val="Ruller41"/>
        <w:rPr>
          <w:rtl/>
        </w:rPr>
      </w:pPr>
    </w:p>
    <w:p w:rsidR="00F20723" w:rsidRDefault="00F20723" w:rsidP="00390763">
      <w:pPr>
        <w:pStyle w:val="Ruller41"/>
        <w:rPr>
          <w:rtl/>
        </w:rPr>
      </w:pPr>
      <w:r>
        <w:rPr>
          <w:rFonts w:hint="cs"/>
          <w:rtl/>
        </w:rPr>
        <w:t>3.</w:t>
      </w:r>
      <w:r>
        <w:rPr>
          <w:rtl/>
        </w:rPr>
        <w:tab/>
      </w:r>
      <w:r>
        <w:rPr>
          <w:rFonts w:hint="cs"/>
          <w:rtl/>
        </w:rPr>
        <w:t>תקנות סדר הדין החדשות מבקשות אפוא בין היתר "</w:t>
      </w:r>
      <w:r>
        <w:rPr>
          <w:rFonts w:hint="eastAsia"/>
          <w:rtl/>
        </w:rPr>
        <w:t>למגר</w:t>
      </w:r>
      <w:r>
        <w:rPr>
          <w:rtl/>
        </w:rPr>
        <w:t xml:space="preserve"> </w:t>
      </w:r>
      <w:r>
        <w:rPr>
          <w:rFonts w:hint="eastAsia"/>
          <w:rtl/>
        </w:rPr>
        <w:t>את</w:t>
      </w:r>
      <w:r>
        <w:rPr>
          <w:rtl/>
        </w:rPr>
        <w:t xml:space="preserve"> </w:t>
      </w:r>
      <w:r>
        <w:rPr>
          <w:rFonts w:hint="eastAsia"/>
          <w:rtl/>
        </w:rPr>
        <w:t>התופעה</w:t>
      </w:r>
      <w:r>
        <w:rPr>
          <w:rtl/>
        </w:rPr>
        <w:t xml:space="preserve"> </w:t>
      </w:r>
      <w:r>
        <w:rPr>
          <w:rFonts w:hint="eastAsia"/>
          <w:rtl/>
        </w:rPr>
        <w:t>של</w:t>
      </w:r>
      <w:r>
        <w:rPr>
          <w:rtl/>
        </w:rPr>
        <w:t xml:space="preserve"> </w:t>
      </w:r>
      <w:r>
        <w:rPr>
          <w:rFonts w:hint="eastAsia"/>
          <w:rtl/>
        </w:rPr>
        <w:t>שימוש</w:t>
      </w:r>
      <w:r>
        <w:rPr>
          <w:rtl/>
        </w:rPr>
        <w:t xml:space="preserve"> </w:t>
      </w:r>
      <w:r>
        <w:rPr>
          <w:rFonts w:hint="eastAsia"/>
          <w:rtl/>
        </w:rPr>
        <w:t>מרובה</w:t>
      </w:r>
      <w:r>
        <w:rPr>
          <w:rtl/>
        </w:rPr>
        <w:t xml:space="preserve"> </w:t>
      </w:r>
      <w:r>
        <w:rPr>
          <w:rFonts w:hint="eastAsia"/>
          <w:rtl/>
        </w:rPr>
        <w:t>בניירת</w:t>
      </w:r>
      <w:r>
        <w:rPr>
          <w:rtl/>
        </w:rPr>
        <w:t xml:space="preserve"> </w:t>
      </w:r>
      <w:r>
        <w:rPr>
          <w:rFonts w:hint="eastAsia"/>
          <w:rtl/>
        </w:rPr>
        <w:t>מעל</w:t>
      </w:r>
      <w:r>
        <w:rPr>
          <w:rtl/>
        </w:rPr>
        <w:t xml:space="preserve"> </w:t>
      </w:r>
      <w:r>
        <w:rPr>
          <w:rFonts w:hint="eastAsia"/>
          <w:rtl/>
        </w:rPr>
        <w:t>ומעבר</w:t>
      </w:r>
      <w:r>
        <w:rPr>
          <w:rtl/>
        </w:rPr>
        <w:t xml:space="preserve"> </w:t>
      </w:r>
      <w:r>
        <w:rPr>
          <w:rFonts w:hint="eastAsia"/>
          <w:rtl/>
        </w:rPr>
        <w:t>לנדרש</w:t>
      </w:r>
      <w:r>
        <w:rPr>
          <w:rtl/>
        </w:rPr>
        <w:t xml:space="preserve">, </w:t>
      </w:r>
      <w:r>
        <w:rPr>
          <w:rFonts w:hint="eastAsia"/>
          <w:rtl/>
        </w:rPr>
        <w:t>באופן</w:t>
      </w:r>
      <w:r>
        <w:rPr>
          <w:rFonts w:hint="cs"/>
          <w:rtl/>
        </w:rPr>
        <w:t xml:space="preserve"> </w:t>
      </w:r>
      <w:r>
        <w:rPr>
          <w:rFonts w:hint="eastAsia"/>
          <w:rtl/>
        </w:rPr>
        <w:t>המקשה</w:t>
      </w:r>
      <w:r>
        <w:rPr>
          <w:rtl/>
        </w:rPr>
        <w:t xml:space="preserve"> </w:t>
      </w:r>
      <w:r>
        <w:rPr>
          <w:rFonts w:hint="eastAsia"/>
          <w:rtl/>
        </w:rPr>
        <w:t>לאתר</w:t>
      </w:r>
      <w:r>
        <w:rPr>
          <w:rtl/>
        </w:rPr>
        <w:t xml:space="preserve"> </w:t>
      </w:r>
      <w:r>
        <w:rPr>
          <w:rFonts w:hint="eastAsia"/>
          <w:rtl/>
        </w:rPr>
        <w:t>את</w:t>
      </w:r>
      <w:r>
        <w:rPr>
          <w:rtl/>
        </w:rPr>
        <w:t xml:space="preserve"> </w:t>
      </w:r>
      <w:r>
        <w:rPr>
          <w:rFonts w:hint="eastAsia"/>
          <w:rtl/>
        </w:rPr>
        <w:t>השאלות</w:t>
      </w:r>
      <w:r>
        <w:rPr>
          <w:rtl/>
        </w:rPr>
        <w:t xml:space="preserve"> </w:t>
      </w:r>
      <w:r>
        <w:rPr>
          <w:rFonts w:hint="eastAsia"/>
          <w:rtl/>
        </w:rPr>
        <w:t>השנויות</w:t>
      </w:r>
      <w:r>
        <w:rPr>
          <w:rtl/>
        </w:rPr>
        <w:t xml:space="preserve"> </w:t>
      </w:r>
      <w:r>
        <w:rPr>
          <w:rFonts w:hint="eastAsia"/>
          <w:rtl/>
        </w:rPr>
        <w:t>במחלוקת</w:t>
      </w:r>
      <w:r>
        <w:rPr>
          <w:rtl/>
        </w:rPr>
        <w:t xml:space="preserve"> </w:t>
      </w:r>
      <w:r>
        <w:rPr>
          <w:rFonts w:hint="eastAsia"/>
          <w:rtl/>
        </w:rPr>
        <w:t>ומביא</w:t>
      </w:r>
      <w:r>
        <w:rPr>
          <w:rtl/>
        </w:rPr>
        <w:t xml:space="preserve"> </w:t>
      </w:r>
      <w:r>
        <w:rPr>
          <w:rFonts w:hint="eastAsia"/>
          <w:rtl/>
        </w:rPr>
        <w:t>לבזבוז</w:t>
      </w:r>
      <w:r>
        <w:rPr>
          <w:rtl/>
        </w:rPr>
        <w:t xml:space="preserve"> </w:t>
      </w:r>
      <w:r>
        <w:rPr>
          <w:rFonts w:hint="eastAsia"/>
          <w:rtl/>
        </w:rPr>
        <w:t>זמן</w:t>
      </w:r>
      <w:r>
        <w:rPr>
          <w:rtl/>
        </w:rPr>
        <w:t xml:space="preserve"> </w:t>
      </w:r>
      <w:r>
        <w:rPr>
          <w:rFonts w:hint="eastAsia"/>
          <w:rtl/>
        </w:rPr>
        <w:t>שיפוטי</w:t>
      </w:r>
      <w:r>
        <w:rPr>
          <w:rtl/>
        </w:rPr>
        <w:t xml:space="preserve"> </w:t>
      </w:r>
      <w:r>
        <w:rPr>
          <w:rFonts w:hint="eastAsia"/>
          <w:rtl/>
        </w:rPr>
        <w:t>יקר</w:t>
      </w:r>
      <w:r>
        <w:rPr>
          <w:rtl/>
        </w:rPr>
        <w:t xml:space="preserve"> </w:t>
      </w:r>
      <w:r>
        <w:rPr>
          <w:rFonts w:hint="eastAsia"/>
          <w:rtl/>
        </w:rPr>
        <w:t>ולהתשת</w:t>
      </w:r>
      <w:r>
        <w:rPr>
          <w:rtl/>
        </w:rPr>
        <w:t xml:space="preserve"> </w:t>
      </w:r>
      <w:r>
        <w:rPr>
          <w:rFonts w:hint="eastAsia"/>
          <w:rtl/>
        </w:rPr>
        <w:t>הצד</w:t>
      </w:r>
      <w:r>
        <w:rPr>
          <w:rtl/>
        </w:rPr>
        <w:t xml:space="preserve"> </w:t>
      </w:r>
      <w:r>
        <w:rPr>
          <w:rFonts w:hint="eastAsia"/>
          <w:rtl/>
        </w:rPr>
        <w:t>שכנגד</w:t>
      </w:r>
      <w:r>
        <w:rPr>
          <w:rtl/>
        </w:rPr>
        <w:t xml:space="preserve"> </w:t>
      </w:r>
      <w:r>
        <w:rPr>
          <w:rFonts w:hint="eastAsia"/>
          <w:rtl/>
        </w:rPr>
        <w:t>שלא</w:t>
      </w:r>
      <w:r>
        <w:rPr>
          <w:rFonts w:hint="cs"/>
          <w:rtl/>
        </w:rPr>
        <w:t xml:space="preserve"> </w:t>
      </w:r>
      <w:r>
        <w:rPr>
          <w:rFonts w:hint="eastAsia"/>
          <w:rtl/>
        </w:rPr>
        <w:t>לצורך</w:t>
      </w:r>
      <w:r>
        <w:rPr>
          <w:rFonts w:hint="cs"/>
          <w:rtl/>
        </w:rPr>
        <w:t xml:space="preserve">" (ראו, </w:t>
      </w:r>
      <w:r w:rsidRPr="004A25A4">
        <w:rPr>
          <w:rFonts w:ascii="Miriam" w:hAnsi="Miriam" w:cs="Miriam"/>
          <w:sz w:val="20"/>
          <w:szCs w:val="24"/>
          <w:rtl/>
        </w:rPr>
        <w:t>דברי ההסבר לתקנות</w:t>
      </w:r>
      <w:r>
        <w:rPr>
          <w:rFonts w:hint="cs"/>
          <w:rtl/>
        </w:rPr>
        <w:t xml:space="preserve">, בעמ' 12). בהתחשב בכך הוגבל במסגרתן, בדרך של </w:t>
      </w:r>
      <w:proofErr w:type="spellStart"/>
      <w:r>
        <w:rPr>
          <w:rFonts w:hint="cs"/>
          <w:rtl/>
        </w:rPr>
        <w:t>קציבת</w:t>
      </w:r>
      <w:proofErr w:type="spellEnd"/>
      <w:r>
        <w:rPr>
          <w:rFonts w:hint="cs"/>
          <w:rtl/>
        </w:rPr>
        <w:t xml:space="preserve"> מספרי עמודים מקסימלי, היקף כתב הגנה, כתב תביעה וכתב תשובה (תקנות 9(ד) ו-18(ב)</w:t>
      </w:r>
      <w:r w:rsidRPr="00AA740B">
        <w:rPr>
          <w:rFonts w:hint="cs"/>
          <w:rtl/>
        </w:rPr>
        <w:t xml:space="preserve"> </w:t>
      </w:r>
      <w:r>
        <w:rPr>
          <w:rFonts w:hint="cs"/>
          <w:rtl/>
        </w:rPr>
        <w:t>לתקנות); היקף רשימת הבקשות המוגשת לפני ישיבת קדם-המשפט הראשונה (תקנה 49(</w:t>
      </w:r>
      <w:r w:rsidR="00390763">
        <w:rPr>
          <w:rFonts w:hint="cs"/>
          <w:rtl/>
        </w:rPr>
        <w:t>ה</w:t>
      </w:r>
      <w:r>
        <w:rPr>
          <w:rFonts w:hint="cs"/>
          <w:rtl/>
        </w:rPr>
        <w:t>)</w:t>
      </w:r>
      <w:r w:rsidRPr="00AA740B">
        <w:rPr>
          <w:rFonts w:hint="cs"/>
          <w:rtl/>
        </w:rPr>
        <w:t xml:space="preserve"> </w:t>
      </w:r>
      <w:r>
        <w:rPr>
          <w:rFonts w:hint="cs"/>
          <w:rtl/>
        </w:rPr>
        <w:t>לתקנות); היקף בקשה בכתב (תקנה 50(5) לתקנות); היקף עיקרי טיעון בדיון מהיר (תקנה 80(ז)</w:t>
      </w:r>
      <w:r w:rsidRPr="00AA740B">
        <w:rPr>
          <w:rFonts w:hint="cs"/>
          <w:rtl/>
        </w:rPr>
        <w:t xml:space="preserve"> </w:t>
      </w:r>
      <w:r>
        <w:rPr>
          <w:rFonts w:hint="cs"/>
          <w:rtl/>
        </w:rPr>
        <w:t>לתקנות); והיקף גוף הערעור המוגש לבית משפט השלום, לבית המשפט המחוזי או לבית המשפט העליון (ראו תקנה 134(א)(3) לתקנות הקובעת כי "</w:t>
      </w:r>
      <w:r w:rsidRPr="006A5039">
        <w:rPr>
          <w:rFonts w:hint="eastAsia"/>
          <w:rtl/>
        </w:rPr>
        <w:t>גוף</w:t>
      </w:r>
      <w:r w:rsidRPr="006A5039">
        <w:rPr>
          <w:rtl/>
        </w:rPr>
        <w:t xml:space="preserve"> </w:t>
      </w:r>
      <w:r w:rsidRPr="006A5039">
        <w:rPr>
          <w:rFonts w:hint="eastAsia"/>
          <w:rtl/>
        </w:rPr>
        <w:t>הערעור</w:t>
      </w:r>
      <w:r w:rsidRPr="006A5039">
        <w:rPr>
          <w:rtl/>
        </w:rPr>
        <w:t xml:space="preserve"> </w:t>
      </w:r>
      <w:r w:rsidRPr="006A5039">
        <w:rPr>
          <w:rFonts w:hint="eastAsia"/>
          <w:rtl/>
        </w:rPr>
        <w:t>לא</w:t>
      </w:r>
      <w:r w:rsidRPr="006A5039">
        <w:rPr>
          <w:rtl/>
        </w:rPr>
        <w:t xml:space="preserve"> </w:t>
      </w:r>
      <w:r w:rsidRPr="006A5039">
        <w:rPr>
          <w:rFonts w:hint="eastAsia"/>
          <w:rtl/>
        </w:rPr>
        <w:t>יעלה</w:t>
      </w:r>
      <w:r w:rsidRPr="006A5039">
        <w:rPr>
          <w:rtl/>
        </w:rPr>
        <w:t xml:space="preserve"> </w:t>
      </w:r>
      <w:r w:rsidRPr="006A5039">
        <w:rPr>
          <w:rFonts w:hint="eastAsia"/>
          <w:rtl/>
        </w:rPr>
        <w:t>על</w:t>
      </w:r>
      <w:r w:rsidRPr="006A5039">
        <w:rPr>
          <w:rtl/>
        </w:rPr>
        <w:t xml:space="preserve"> </w:t>
      </w:r>
      <w:r w:rsidRPr="006A5039">
        <w:rPr>
          <w:rFonts w:hint="eastAsia"/>
          <w:rtl/>
        </w:rPr>
        <w:t>שישה</w:t>
      </w:r>
      <w:r w:rsidRPr="006A5039">
        <w:rPr>
          <w:rtl/>
        </w:rPr>
        <w:t xml:space="preserve"> </w:t>
      </w:r>
      <w:r w:rsidRPr="006A5039">
        <w:rPr>
          <w:rFonts w:hint="eastAsia"/>
          <w:rtl/>
        </w:rPr>
        <w:t>עמודים</w:t>
      </w:r>
      <w:r w:rsidRPr="006A5039">
        <w:rPr>
          <w:rtl/>
        </w:rPr>
        <w:t xml:space="preserve">, </w:t>
      </w:r>
      <w:r w:rsidRPr="006A5039">
        <w:rPr>
          <w:rFonts w:hint="eastAsia"/>
          <w:rtl/>
        </w:rPr>
        <w:t>אם</w:t>
      </w:r>
      <w:r w:rsidRPr="006A5039">
        <w:rPr>
          <w:rtl/>
        </w:rPr>
        <w:t xml:space="preserve"> </w:t>
      </w:r>
      <w:r w:rsidRPr="006A5039">
        <w:rPr>
          <w:rFonts w:hint="eastAsia"/>
          <w:rtl/>
        </w:rPr>
        <w:t>הוגש</w:t>
      </w:r>
      <w:r w:rsidRPr="006A5039">
        <w:rPr>
          <w:rtl/>
        </w:rPr>
        <w:t xml:space="preserve"> </w:t>
      </w:r>
      <w:r w:rsidRPr="006A5039">
        <w:rPr>
          <w:rFonts w:hint="eastAsia"/>
          <w:rtl/>
        </w:rPr>
        <w:t>לבית</w:t>
      </w:r>
      <w:r w:rsidRPr="006A5039">
        <w:rPr>
          <w:rtl/>
        </w:rPr>
        <w:t xml:space="preserve"> </w:t>
      </w:r>
      <w:r w:rsidRPr="006A5039">
        <w:rPr>
          <w:rFonts w:hint="eastAsia"/>
          <w:rtl/>
        </w:rPr>
        <w:t>משפט</w:t>
      </w:r>
      <w:r w:rsidRPr="006A5039">
        <w:rPr>
          <w:rtl/>
        </w:rPr>
        <w:t xml:space="preserve"> </w:t>
      </w:r>
      <w:r w:rsidRPr="006A5039">
        <w:rPr>
          <w:rFonts w:hint="eastAsia"/>
          <w:rtl/>
        </w:rPr>
        <w:t>השלום</w:t>
      </w:r>
      <w:r w:rsidRPr="006A5039">
        <w:rPr>
          <w:rtl/>
        </w:rPr>
        <w:t xml:space="preserve">, </w:t>
      </w:r>
      <w:r w:rsidRPr="006A5039">
        <w:rPr>
          <w:rFonts w:hint="eastAsia"/>
          <w:rtl/>
        </w:rPr>
        <w:t>על</w:t>
      </w:r>
      <w:r w:rsidRPr="006A5039">
        <w:rPr>
          <w:rtl/>
        </w:rPr>
        <w:t xml:space="preserve"> </w:t>
      </w:r>
      <w:r w:rsidRPr="006A5039">
        <w:rPr>
          <w:rFonts w:hint="eastAsia"/>
          <w:rtl/>
        </w:rPr>
        <w:t>תשעה</w:t>
      </w:r>
      <w:r w:rsidRPr="006A5039">
        <w:rPr>
          <w:rtl/>
        </w:rPr>
        <w:t xml:space="preserve"> </w:t>
      </w:r>
      <w:r w:rsidRPr="006A5039">
        <w:rPr>
          <w:rFonts w:hint="eastAsia"/>
          <w:rtl/>
        </w:rPr>
        <w:t>עמודים</w:t>
      </w:r>
      <w:r w:rsidRPr="006A5039">
        <w:rPr>
          <w:rtl/>
        </w:rPr>
        <w:t xml:space="preserve"> </w:t>
      </w:r>
      <w:r w:rsidRPr="006A5039">
        <w:rPr>
          <w:rFonts w:hint="eastAsia"/>
          <w:rtl/>
        </w:rPr>
        <w:t>אם</w:t>
      </w:r>
      <w:r w:rsidRPr="006A5039">
        <w:rPr>
          <w:rtl/>
        </w:rPr>
        <w:t xml:space="preserve"> </w:t>
      </w:r>
      <w:r w:rsidRPr="006A5039">
        <w:rPr>
          <w:rFonts w:hint="eastAsia"/>
          <w:rtl/>
        </w:rPr>
        <w:t>הוגש</w:t>
      </w:r>
      <w:r w:rsidRPr="006A5039">
        <w:rPr>
          <w:rtl/>
        </w:rPr>
        <w:t xml:space="preserve"> </w:t>
      </w:r>
      <w:r w:rsidRPr="006A5039">
        <w:rPr>
          <w:rFonts w:hint="eastAsia"/>
          <w:rtl/>
        </w:rPr>
        <w:t>לבית</w:t>
      </w:r>
      <w:r w:rsidRPr="006A5039">
        <w:rPr>
          <w:rtl/>
        </w:rPr>
        <w:t xml:space="preserve"> </w:t>
      </w:r>
      <w:r w:rsidRPr="006A5039">
        <w:rPr>
          <w:rFonts w:hint="eastAsia"/>
          <w:rtl/>
        </w:rPr>
        <w:t>המשפט</w:t>
      </w:r>
      <w:r w:rsidRPr="006A5039">
        <w:rPr>
          <w:rtl/>
        </w:rPr>
        <w:t xml:space="preserve"> </w:t>
      </w:r>
      <w:r w:rsidRPr="006A5039">
        <w:rPr>
          <w:rFonts w:hint="eastAsia"/>
          <w:rtl/>
        </w:rPr>
        <w:t>המחוזי</w:t>
      </w:r>
      <w:r w:rsidRPr="006A5039">
        <w:rPr>
          <w:rtl/>
        </w:rPr>
        <w:t xml:space="preserve">, </w:t>
      </w:r>
      <w:r w:rsidRPr="006A5039">
        <w:rPr>
          <w:rFonts w:hint="eastAsia"/>
          <w:rtl/>
        </w:rPr>
        <w:t>ועל</w:t>
      </w:r>
      <w:r w:rsidRPr="006A5039">
        <w:rPr>
          <w:rtl/>
        </w:rPr>
        <w:t xml:space="preserve"> </w:t>
      </w:r>
      <w:r w:rsidRPr="006A5039">
        <w:rPr>
          <w:rFonts w:hint="eastAsia"/>
          <w:rtl/>
        </w:rPr>
        <w:t>שנים</w:t>
      </w:r>
      <w:r w:rsidRPr="006A5039">
        <w:rPr>
          <w:rtl/>
        </w:rPr>
        <w:t xml:space="preserve"> </w:t>
      </w:r>
      <w:r w:rsidRPr="006A5039">
        <w:rPr>
          <w:rFonts w:hint="eastAsia"/>
          <w:rtl/>
        </w:rPr>
        <w:t>עשר</w:t>
      </w:r>
      <w:r w:rsidRPr="006A5039">
        <w:rPr>
          <w:rtl/>
        </w:rPr>
        <w:t xml:space="preserve"> </w:t>
      </w:r>
      <w:r w:rsidRPr="006A5039">
        <w:rPr>
          <w:rFonts w:hint="eastAsia"/>
          <w:rtl/>
        </w:rPr>
        <w:t>עמודים</w:t>
      </w:r>
      <w:r w:rsidRPr="006A5039">
        <w:rPr>
          <w:rtl/>
        </w:rPr>
        <w:t xml:space="preserve">, </w:t>
      </w:r>
      <w:r w:rsidRPr="006A5039">
        <w:rPr>
          <w:rFonts w:hint="eastAsia"/>
          <w:rtl/>
        </w:rPr>
        <w:t>אם</w:t>
      </w:r>
      <w:r w:rsidRPr="006A5039">
        <w:rPr>
          <w:rtl/>
        </w:rPr>
        <w:t xml:space="preserve"> </w:t>
      </w:r>
      <w:r w:rsidRPr="006A5039">
        <w:rPr>
          <w:rFonts w:hint="eastAsia"/>
          <w:rtl/>
        </w:rPr>
        <w:t>הוגש</w:t>
      </w:r>
      <w:r w:rsidRPr="006A5039">
        <w:rPr>
          <w:rtl/>
        </w:rPr>
        <w:t xml:space="preserve"> </w:t>
      </w:r>
      <w:r w:rsidRPr="006A5039">
        <w:rPr>
          <w:rFonts w:hint="eastAsia"/>
          <w:rtl/>
        </w:rPr>
        <w:t>לבית</w:t>
      </w:r>
      <w:r w:rsidRPr="006A5039">
        <w:rPr>
          <w:rtl/>
        </w:rPr>
        <w:t xml:space="preserve"> </w:t>
      </w:r>
      <w:r w:rsidRPr="006A5039">
        <w:rPr>
          <w:rFonts w:hint="eastAsia"/>
          <w:rtl/>
        </w:rPr>
        <w:t>המשפט</w:t>
      </w:r>
      <w:r w:rsidRPr="006A5039">
        <w:rPr>
          <w:rtl/>
        </w:rPr>
        <w:t xml:space="preserve"> </w:t>
      </w:r>
      <w:r w:rsidRPr="006A5039">
        <w:rPr>
          <w:rFonts w:hint="eastAsia"/>
          <w:rtl/>
        </w:rPr>
        <w:t>העליון</w:t>
      </w:r>
      <w:r>
        <w:rPr>
          <w:rFonts w:hint="cs"/>
          <w:rtl/>
        </w:rPr>
        <w:t>"). חשוב לציין ברקע הדברים כי מדד</w:t>
      </w:r>
      <w:r w:rsidR="009A776C">
        <w:rPr>
          <w:rFonts w:hint="cs"/>
          <w:rtl/>
        </w:rPr>
        <w:t>ים להיקף של</w:t>
      </w:r>
      <w:r>
        <w:rPr>
          <w:rFonts w:hint="cs"/>
          <w:rtl/>
        </w:rPr>
        <w:t xml:space="preserve"> כתבי טענות </w:t>
      </w:r>
      <w:r w:rsidR="009A776C">
        <w:rPr>
          <w:rFonts w:hint="cs"/>
          <w:rtl/>
        </w:rPr>
        <w:t xml:space="preserve">נקבעו גם במדינות אחרות בעולם </w:t>
      </w:r>
      <w:r>
        <w:rPr>
          <w:rFonts w:hint="cs"/>
          <w:rtl/>
        </w:rPr>
        <w:t xml:space="preserve">(לדוגמה, בארצות-הברית </w:t>
      </w:r>
      <w:r w:rsidRPr="00BF4958">
        <w:rPr>
          <w:rFonts w:hint="eastAsia"/>
          <w:rtl/>
        </w:rPr>
        <w:t>קובעת</w:t>
      </w:r>
      <w:r w:rsidRPr="00BF4958">
        <w:rPr>
          <w:rtl/>
        </w:rPr>
        <w:t xml:space="preserve"> </w:t>
      </w:r>
      <w:r>
        <w:rPr>
          <w:rFonts w:hint="cs"/>
          <w:rtl/>
        </w:rPr>
        <w:t xml:space="preserve">תקנה </w:t>
      </w:r>
      <w:r w:rsidRPr="0097629F">
        <w:rPr>
          <w:rFonts w:ascii="Garamond" w:hAnsi="Garamond"/>
          <w:color w:val="000000"/>
          <w:sz w:val="20"/>
          <w:szCs w:val="20"/>
        </w:rPr>
        <w:t>32(a)(7)(B)</w:t>
      </w:r>
      <w:r w:rsidRPr="0097629F">
        <w:rPr>
          <w:rFonts w:ascii="Garamond" w:hAnsi="Garamond"/>
          <w:color w:val="000000"/>
          <w:sz w:val="20"/>
          <w:szCs w:val="20"/>
          <w:rtl/>
        </w:rPr>
        <w:t xml:space="preserve"> </w:t>
      </w:r>
      <w:r>
        <w:rPr>
          <w:rFonts w:hint="cs"/>
          <w:rtl/>
        </w:rPr>
        <w:t>ל-</w:t>
      </w:r>
      <w:r w:rsidRPr="001D3582">
        <w:rPr>
          <w:rFonts w:ascii="Garamond" w:hAnsi="Garamond"/>
          <w:color w:val="000000"/>
          <w:sz w:val="20"/>
          <w:szCs w:val="20"/>
        </w:rPr>
        <w:t>Federal Rules of Appellate Procedure</w:t>
      </w:r>
      <w:r>
        <w:rPr>
          <w:rFonts w:hint="cs"/>
          <w:rtl/>
        </w:rPr>
        <w:t xml:space="preserve"> כי היקפו של כתב סיכומים עיקרי המוגש לערכאת ערעור פדרלית לא יעלה על 13,000 מילים).</w:t>
      </w:r>
    </w:p>
    <w:p w:rsidR="00F20723" w:rsidRDefault="00F20723" w:rsidP="00F20723">
      <w:pPr>
        <w:pStyle w:val="Ruller41"/>
        <w:rPr>
          <w:rtl/>
        </w:rPr>
      </w:pPr>
    </w:p>
    <w:p w:rsidR="00F20723" w:rsidRPr="00E6680E" w:rsidRDefault="00F20723" w:rsidP="00F20723">
      <w:pPr>
        <w:pStyle w:val="Ruller41"/>
        <w:rPr>
          <w:rFonts w:ascii="Miriam" w:hAnsi="Miriam" w:cs="Miriam"/>
          <w:sz w:val="20"/>
          <w:szCs w:val="24"/>
          <w:rtl/>
        </w:rPr>
      </w:pPr>
      <w:r>
        <w:rPr>
          <w:rFonts w:ascii="Miriam" w:hAnsi="Miriam" w:cs="Miriam" w:hint="cs"/>
          <w:sz w:val="20"/>
          <w:szCs w:val="24"/>
          <w:rtl/>
        </w:rPr>
        <w:t>העיתוי הדיוני להגשת בקשה להגדלת היקף כתב טענות</w:t>
      </w:r>
    </w:p>
    <w:p w:rsidR="00F20723" w:rsidRDefault="00F20723" w:rsidP="00F20723">
      <w:pPr>
        <w:pStyle w:val="Ruller41"/>
        <w:rPr>
          <w:rtl/>
        </w:rPr>
      </w:pPr>
    </w:p>
    <w:p w:rsidR="00F20723" w:rsidRDefault="00F20723" w:rsidP="00F20723">
      <w:pPr>
        <w:pStyle w:val="Ruller41"/>
        <w:rPr>
          <w:rtl/>
        </w:rPr>
      </w:pPr>
      <w:r>
        <w:rPr>
          <w:rFonts w:hint="cs"/>
          <w:rtl/>
        </w:rPr>
        <w:t>4.</w:t>
      </w:r>
      <w:r>
        <w:rPr>
          <w:rtl/>
        </w:rPr>
        <w:tab/>
      </w:r>
      <w:r>
        <w:rPr>
          <w:rFonts w:hint="cs"/>
          <w:rtl/>
        </w:rPr>
        <w:t>לצד ההוראות הקובעות בתקנות היקפים מקסימליים של כתבי טענות, הוסיף מחוקק המשנה וקבע בתקנה 176(ב) לתקנות הוראה כללית המסמיכה את בית המשפט לאפשר הגשת כתב טענות בהיקף שונה מזה שנקבע בתקנות. תקנה זו קובעת כך:</w:t>
      </w:r>
    </w:p>
    <w:p w:rsidR="00F20723" w:rsidRDefault="00F20723" w:rsidP="00F20723">
      <w:pPr>
        <w:pStyle w:val="Ruller41"/>
        <w:rPr>
          <w:rtl/>
        </w:rPr>
      </w:pPr>
    </w:p>
    <w:p w:rsidR="00F20723" w:rsidRPr="00107036" w:rsidRDefault="00F20723" w:rsidP="00F20723">
      <w:pPr>
        <w:pStyle w:val="ruller50"/>
        <w:bidi/>
        <w:spacing w:before="0" w:beforeAutospacing="0" w:after="0" w:afterAutospacing="0"/>
        <w:ind w:left="1642" w:right="1282"/>
        <w:jc w:val="both"/>
        <w:rPr>
          <w:rFonts w:ascii="Arial TUR" w:hAnsi="Arial TUR" w:cs="Arial TUR"/>
          <w:color w:val="000000"/>
          <w:spacing w:val="10"/>
          <w:sz w:val="22"/>
          <w:szCs w:val="22"/>
          <w:rtl/>
        </w:rPr>
      </w:pPr>
      <w:r w:rsidRPr="00107036">
        <w:rPr>
          <w:rFonts w:ascii="FrankRuehl" w:hAnsi="FrankRuehl" w:cs="FrankRuehl"/>
          <w:color w:val="000000"/>
          <w:spacing w:val="10"/>
          <w:sz w:val="28"/>
          <w:szCs w:val="28"/>
          <w:rtl/>
        </w:rPr>
        <w:t>"</w:t>
      </w:r>
      <w:r>
        <w:rPr>
          <w:rFonts w:ascii="FrankRuehl" w:hAnsi="FrankRuehl" w:cs="FrankRuehl" w:hint="cs"/>
          <w:color w:val="000000"/>
          <w:spacing w:val="10"/>
          <w:sz w:val="28"/>
          <w:szCs w:val="28"/>
          <w:rtl/>
        </w:rPr>
        <w:t xml:space="preserve">176(ב). </w:t>
      </w:r>
      <w:r w:rsidRPr="00304726">
        <w:rPr>
          <w:rFonts w:ascii="FrankRuehl" w:hAnsi="FrankRuehl" w:cs="FrankRuehl" w:hint="eastAsia"/>
          <w:color w:val="000000"/>
          <w:spacing w:val="10"/>
          <w:sz w:val="28"/>
          <w:szCs w:val="28"/>
          <w:rtl/>
        </w:rPr>
        <w:t>בית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המשפט</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רשאי</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לתת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הוראות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בדבר</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היקף</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כתב</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טענות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נקבע</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בתקנות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אלה</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או</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בכל</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חיקוק</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זמן</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לעשיית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דבר</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או</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להימנע</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מעשיית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דבר</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או</w:t>
      </w:r>
      <w:r w:rsidRPr="00304726">
        <w:rPr>
          <w:rFonts w:ascii="FrankRuehl" w:hAnsi="FrankRuehl" w:cs="FrankRuehl"/>
          <w:color w:val="000000"/>
          <w:spacing w:val="10"/>
          <w:sz w:val="28"/>
          <w:szCs w:val="28"/>
          <w:rtl/>
        </w:rPr>
        <w:t xml:space="preserve"> </w:t>
      </w:r>
      <w:r w:rsidRPr="00304726">
        <w:rPr>
          <w:rFonts w:ascii="Miriam" w:hAnsi="Miriam" w:cs="Miriam"/>
          <w:color w:val="000000"/>
          <w:spacing w:val="10"/>
          <w:rtl/>
        </w:rPr>
        <w:t>מדד להיקף כתב טענות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יחול</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האמור</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כל</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עוד</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בית</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המשפט</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לא</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הורה</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אחרת</w:t>
      </w:r>
      <w:r w:rsidRPr="00304726">
        <w:rPr>
          <w:rFonts w:ascii="FrankRuehl" w:hAnsi="FrankRuehl" w:cs="FrankRuehl"/>
          <w:color w:val="000000"/>
          <w:spacing w:val="10"/>
          <w:sz w:val="28"/>
          <w:szCs w:val="28"/>
          <w:rtl/>
        </w:rPr>
        <w:t xml:space="preserve"> </w:t>
      </w:r>
      <w:r w:rsidRPr="00304726">
        <w:rPr>
          <w:rFonts w:ascii="Miriam" w:hAnsi="Miriam" w:cs="Miriam"/>
          <w:color w:val="000000"/>
          <w:spacing w:val="10"/>
          <w:rtl/>
        </w:rPr>
        <w:t>מטעמים מיוחדים</w:t>
      </w:r>
      <w:r>
        <w:rPr>
          <w:rFonts w:ascii="FrankRuehl" w:hAnsi="FrankRuehl" w:cs="FrankRuehl" w:hint="cs"/>
          <w:color w:val="000000"/>
          <w:spacing w:val="10"/>
          <w:sz w:val="28"/>
          <w:szCs w:val="28"/>
          <w:rtl/>
        </w:rPr>
        <w:t xml:space="preserve">" </w:t>
      </w:r>
      <w:r w:rsidRPr="00304726">
        <w:rPr>
          <w:rFonts w:ascii="FrankRuehl" w:hAnsi="FrankRuehl" w:cs="FrankRuehl"/>
          <w:color w:val="000000"/>
          <w:spacing w:val="10"/>
          <w:sz w:val="28"/>
          <w:szCs w:val="28"/>
          <w:rtl/>
        </w:rPr>
        <w:t>[</w:t>
      </w:r>
      <w:r w:rsidRPr="00304726">
        <w:rPr>
          <w:rFonts w:ascii="FrankRuehl" w:hAnsi="FrankRuehl" w:cs="FrankRuehl" w:hint="eastAsia"/>
          <w:color w:val="000000"/>
          <w:spacing w:val="10"/>
          <w:sz w:val="28"/>
          <w:szCs w:val="28"/>
          <w:rtl/>
        </w:rPr>
        <w:t>ההדגשות</w:t>
      </w:r>
      <w:r w:rsidRPr="00304726">
        <w:rPr>
          <w:rFonts w:ascii="FrankRuehl" w:hAnsi="FrankRuehl" w:cs="FrankRuehl"/>
          <w:color w:val="000000"/>
          <w:spacing w:val="10"/>
          <w:sz w:val="28"/>
          <w:szCs w:val="28"/>
          <w:rtl/>
        </w:rPr>
        <w:t xml:space="preserve"> </w:t>
      </w:r>
      <w:r>
        <w:rPr>
          <w:rFonts w:ascii="FrankRuehl" w:hAnsi="FrankRuehl" w:cs="FrankRuehl" w:hint="cs"/>
          <w:color w:val="000000"/>
          <w:spacing w:val="10"/>
          <w:sz w:val="28"/>
          <w:szCs w:val="28"/>
          <w:rtl/>
        </w:rPr>
        <w:t>הוספו</w:t>
      </w:r>
      <w:r w:rsidRPr="00304726">
        <w:rPr>
          <w:rFonts w:ascii="FrankRuehl" w:hAnsi="FrankRuehl" w:cs="FrankRuehl"/>
          <w:color w:val="000000"/>
          <w:spacing w:val="10"/>
          <w:sz w:val="28"/>
          <w:szCs w:val="28"/>
          <w:rtl/>
        </w:rPr>
        <w:t xml:space="preserve"> – </w:t>
      </w:r>
      <w:r w:rsidRPr="00304726">
        <w:rPr>
          <w:rFonts w:ascii="FrankRuehl" w:hAnsi="FrankRuehl" w:cs="FrankRuehl" w:hint="eastAsia"/>
          <w:color w:val="000000"/>
          <w:spacing w:val="10"/>
          <w:sz w:val="28"/>
          <w:szCs w:val="28"/>
          <w:rtl/>
        </w:rPr>
        <w:t>ר</w:t>
      </w:r>
      <w:r w:rsidRPr="00304726">
        <w:rPr>
          <w:rFonts w:ascii="FrankRuehl" w:hAnsi="FrankRuehl" w:cs="FrankRuehl"/>
          <w:color w:val="000000"/>
          <w:spacing w:val="10"/>
          <w:sz w:val="28"/>
          <w:szCs w:val="28"/>
          <w:rtl/>
        </w:rPr>
        <w:t xml:space="preserve">' </w:t>
      </w:r>
      <w:r w:rsidRPr="00304726">
        <w:rPr>
          <w:rFonts w:ascii="FrankRuehl" w:hAnsi="FrankRuehl" w:cs="FrankRuehl" w:hint="eastAsia"/>
          <w:color w:val="000000"/>
          <w:spacing w:val="10"/>
          <w:sz w:val="28"/>
          <w:szCs w:val="28"/>
          <w:rtl/>
        </w:rPr>
        <w:t>ג</w:t>
      </w:r>
      <w:r w:rsidRPr="00304726">
        <w:rPr>
          <w:rFonts w:ascii="FrankRuehl" w:hAnsi="FrankRuehl" w:cs="FrankRuehl"/>
          <w:color w:val="000000"/>
          <w:spacing w:val="10"/>
          <w:sz w:val="28"/>
          <w:szCs w:val="28"/>
          <w:rtl/>
        </w:rPr>
        <w:t>']</w:t>
      </w:r>
      <w:r w:rsidRPr="00107036">
        <w:rPr>
          <w:rFonts w:ascii="FrankRuehl" w:hAnsi="FrankRuehl" w:cs="FrankRuehl"/>
          <w:color w:val="000000"/>
          <w:spacing w:val="10"/>
          <w:sz w:val="28"/>
          <w:szCs w:val="28"/>
          <w:rtl/>
        </w:rPr>
        <w:t>.</w:t>
      </w:r>
    </w:p>
    <w:p w:rsidR="00F20723" w:rsidRDefault="00F20723" w:rsidP="00F20723">
      <w:pPr>
        <w:pStyle w:val="Ruller41"/>
        <w:rPr>
          <w:rtl/>
        </w:rPr>
      </w:pPr>
    </w:p>
    <w:p w:rsidR="00F20723" w:rsidRDefault="00F20723" w:rsidP="000F452A">
      <w:pPr>
        <w:pStyle w:val="Ruller41"/>
        <w:rPr>
          <w:rtl/>
        </w:rPr>
      </w:pPr>
      <w:r>
        <w:rPr>
          <w:rtl/>
        </w:rPr>
        <w:tab/>
      </w:r>
      <w:r>
        <w:rPr>
          <w:rFonts w:hint="cs"/>
          <w:rtl/>
        </w:rPr>
        <w:t xml:space="preserve">תקנה 176(ב) לתקנות מאפשרת אפוא לבית המשפט להורות על הגדלת היקף העמודים </w:t>
      </w:r>
      <w:proofErr w:type="spellStart"/>
      <w:r>
        <w:rPr>
          <w:rFonts w:hint="cs"/>
          <w:rtl/>
        </w:rPr>
        <w:t>המירבי</w:t>
      </w:r>
      <w:proofErr w:type="spellEnd"/>
      <w:r>
        <w:rPr>
          <w:rFonts w:hint="cs"/>
          <w:rtl/>
        </w:rPr>
        <w:t xml:space="preserve"> של כתב תביעה, </w:t>
      </w:r>
      <w:r w:rsidR="000F452A">
        <w:rPr>
          <w:rFonts w:hint="cs"/>
          <w:rtl/>
        </w:rPr>
        <w:t>גוף</w:t>
      </w:r>
      <w:r>
        <w:rPr>
          <w:rFonts w:hint="cs"/>
          <w:rtl/>
        </w:rPr>
        <w:t xml:space="preserve"> </w:t>
      </w:r>
      <w:r w:rsidR="000F452A">
        <w:rPr>
          <w:rFonts w:hint="cs"/>
          <w:rtl/>
        </w:rPr>
        <w:t>ה</w:t>
      </w:r>
      <w:r>
        <w:rPr>
          <w:rFonts w:hint="cs"/>
          <w:rtl/>
        </w:rPr>
        <w:t>ערעור ו</w:t>
      </w:r>
      <w:r w:rsidR="000F452A">
        <w:rPr>
          <w:rFonts w:hint="cs"/>
          <w:rtl/>
        </w:rPr>
        <w:t xml:space="preserve">סוגי </w:t>
      </w:r>
      <w:r>
        <w:rPr>
          <w:rFonts w:hint="cs"/>
          <w:rtl/>
        </w:rPr>
        <w:t xml:space="preserve">כתבי </w:t>
      </w:r>
      <w:r w:rsidR="000F452A">
        <w:rPr>
          <w:rFonts w:hint="cs"/>
          <w:rtl/>
        </w:rPr>
        <w:t>ה</w:t>
      </w:r>
      <w:r>
        <w:rPr>
          <w:rFonts w:hint="cs"/>
          <w:rtl/>
        </w:rPr>
        <w:t xml:space="preserve">טענות </w:t>
      </w:r>
      <w:r w:rsidR="000F452A">
        <w:rPr>
          <w:rFonts w:hint="cs"/>
          <w:rtl/>
        </w:rPr>
        <w:t>ה</w:t>
      </w:r>
      <w:r>
        <w:rPr>
          <w:rFonts w:hint="cs"/>
          <w:rtl/>
        </w:rPr>
        <w:t>נוספים</w:t>
      </w:r>
      <w:r w:rsidR="000F452A">
        <w:rPr>
          <w:rFonts w:hint="cs"/>
          <w:rtl/>
        </w:rPr>
        <w:t xml:space="preserve"> הנזכרים לעיל</w:t>
      </w:r>
      <w:r>
        <w:rPr>
          <w:rFonts w:hint="cs"/>
          <w:rtl/>
        </w:rPr>
        <w:t xml:space="preserve">. ואולם, לשון התקנה אינה מתייחסת לעיתוי שבו ניתן להגיש בקשה בעניין זה לבית המשפט וגם ההוראות המסדירות את דרך הגשתן של בקשות בכתב או של "פניות" </w:t>
      </w:r>
      <w:r>
        <w:rPr>
          <w:rFonts w:hint="cs"/>
          <w:rtl/>
        </w:rPr>
        <w:lastRenderedPageBreak/>
        <w:t>בעניינים טכניים הנוגעים לניהולו השוטף של ההליך (ראו תקנות 55-50 לתקנות סדר הדין) אינן נותנ</w:t>
      </w:r>
      <w:r w:rsidR="00AE2350">
        <w:rPr>
          <w:rFonts w:hint="cs"/>
          <w:rtl/>
        </w:rPr>
        <w:t>ו</w:t>
      </w:r>
      <w:r>
        <w:rPr>
          <w:rFonts w:hint="cs"/>
          <w:rtl/>
        </w:rPr>
        <w:t xml:space="preserve">ת מענה </w:t>
      </w:r>
      <w:r w:rsidR="00316FA9">
        <w:rPr>
          <w:rFonts w:hint="cs"/>
          <w:rtl/>
        </w:rPr>
        <w:t>ברור</w:t>
      </w:r>
      <w:r>
        <w:rPr>
          <w:rFonts w:hint="cs"/>
          <w:rtl/>
        </w:rPr>
        <w:t xml:space="preserve"> לשאלה אם ניתן לאפשר, במקרים מתאימים, הגשת בקשה בכתב עובר לפתיחת ההליך העיקרי. יוער, כי תקנה 46 לתקנות קובעת אמנם כי בית המשפט רשאי להורות "</w:t>
      </w:r>
      <w:r w:rsidRPr="002C2692">
        <w:rPr>
          <w:rFonts w:ascii="Century" w:hAnsi="Century" w:cs="Miriam" w:hint="cs"/>
          <w:b/>
          <w:spacing w:val="0"/>
          <w:szCs w:val="24"/>
          <w:rtl/>
        </w:rPr>
        <w:t>בכל עת</w:t>
      </w:r>
      <w:r>
        <w:rPr>
          <w:rFonts w:hint="cs"/>
          <w:rtl/>
        </w:rPr>
        <w:t xml:space="preserve">" כי </w:t>
      </w:r>
      <w:r w:rsidRPr="00F20723">
        <w:rPr>
          <w:rFonts w:ascii="Century" w:hAnsi="Century" w:cs="Miriam" w:hint="cs"/>
          <w:b/>
          <w:spacing w:val="0"/>
          <w:szCs w:val="24"/>
          <w:rtl/>
        </w:rPr>
        <w:t>יתוקן</w:t>
      </w:r>
      <w:r w:rsidRPr="00F20723">
        <w:rPr>
          <w:rFonts w:hint="cs"/>
          <w:rtl/>
        </w:rPr>
        <w:t xml:space="preserve"> </w:t>
      </w:r>
      <w:r>
        <w:rPr>
          <w:rFonts w:hint="cs"/>
          <w:rtl/>
        </w:rPr>
        <w:t>כל עניין בכתב טענות, אך היא אינה מבהירה מפורשות אם ניתן להגיש בקשה כאמור אף בטרם הוגש ההליך עצמו, ועל פני הדברים נראה כי במקרה שכזה אין מדובר ב"</w:t>
      </w:r>
      <w:r w:rsidRPr="00F20723">
        <w:rPr>
          <w:rFonts w:ascii="Century" w:hAnsi="Century" w:cs="Miriam" w:hint="cs"/>
          <w:b/>
          <w:spacing w:val="0"/>
          <w:szCs w:val="24"/>
          <w:rtl/>
        </w:rPr>
        <w:t>תיקון</w:t>
      </w:r>
      <w:r>
        <w:rPr>
          <w:rFonts w:hint="cs"/>
          <w:rtl/>
        </w:rPr>
        <w:t>" של כתב טענות, במשמעות תקנה 46 הנ"ל.</w:t>
      </w:r>
    </w:p>
    <w:p w:rsidR="00F20723" w:rsidRDefault="00F20723" w:rsidP="00F20723">
      <w:pPr>
        <w:pStyle w:val="Ruller41"/>
        <w:rPr>
          <w:rtl/>
        </w:rPr>
      </w:pPr>
    </w:p>
    <w:p w:rsidR="00F20723" w:rsidRDefault="00F20723" w:rsidP="008F03D2">
      <w:pPr>
        <w:pStyle w:val="Ruller41"/>
        <w:rPr>
          <w:rtl/>
        </w:rPr>
      </w:pPr>
      <w:r>
        <w:rPr>
          <w:rtl/>
        </w:rPr>
        <w:tab/>
      </w:r>
      <w:r>
        <w:rPr>
          <w:rFonts w:hint="cs"/>
          <w:rtl/>
        </w:rPr>
        <w:t xml:space="preserve"> הנה כי כן, התקנות אינן מבהירות האם ניתן </w:t>
      </w:r>
      <w:r w:rsidR="00344237">
        <w:rPr>
          <w:rFonts w:hint="cs"/>
          <w:rtl/>
        </w:rPr>
        <w:t>להגיש</w:t>
      </w:r>
      <w:r>
        <w:rPr>
          <w:rFonts w:hint="cs"/>
          <w:rtl/>
        </w:rPr>
        <w:t xml:space="preserve"> </w:t>
      </w:r>
      <w:r w:rsidR="00F86F3D">
        <w:rPr>
          <w:rFonts w:hint="cs"/>
          <w:rtl/>
        </w:rPr>
        <w:t xml:space="preserve">בקשה להגדלת היקף גוף הערעור </w:t>
      </w:r>
      <w:r w:rsidRPr="00C51372">
        <w:rPr>
          <w:rFonts w:ascii="Century" w:hAnsi="Century" w:hint="cs"/>
          <w:rtl/>
        </w:rPr>
        <w:t>עובר להגשת</w:t>
      </w:r>
      <w:r w:rsidRPr="00C51372">
        <w:rPr>
          <w:rFonts w:hint="cs"/>
          <w:rtl/>
        </w:rPr>
        <w:t xml:space="preserve"> </w:t>
      </w:r>
      <w:r>
        <w:rPr>
          <w:rFonts w:hint="cs"/>
          <w:rtl/>
        </w:rPr>
        <w:t>הערעור</w:t>
      </w:r>
      <w:r w:rsidR="00F86F3D">
        <w:rPr>
          <w:rFonts w:hint="cs"/>
          <w:rtl/>
        </w:rPr>
        <w:t xml:space="preserve"> </w:t>
      </w:r>
      <w:r w:rsidR="00390763">
        <w:rPr>
          <w:rFonts w:hint="cs"/>
          <w:rtl/>
        </w:rPr>
        <w:t>(יהא זה ערעור בזכות או בקשת רשות ערעור; וראו לעניין זה ההגדרה של "ערעור" בתקנה 134(א) לתקנות). לפיכך, יש להכריע בסוגיה דיונית זו לנוכח תכלית התקנות</w:t>
      </w:r>
      <w:r w:rsidR="00344237">
        <w:rPr>
          <w:rFonts w:hint="cs"/>
          <w:rtl/>
        </w:rPr>
        <w:t xml:space="preserve">. </w:t>
      </w:r>
      <w:r>
        <w:rPr>
          <w:rFonts w:hint="cs"/>
          <w:rtl/>
        </w:rPr>
        <w:t xml:space="preserve">לאחר בחינת מכלול השיקולים הרלוונטיים, דעתי היא כי ככלל, ולמעט מקרים חריגים ויוצאי דופן </w:t>
      </w:r>
      <w:r w:rsidRPr="00C51372">
        <w:rPr>
          <w:rFonts w:ascii="Century" w:hAnsi="Century" w:cs="Miriam" w:hint="cs"/>
          <w:b/>
          <w:spacing w:val="0"/>
          <w:szCs w:val="24"/>
          <w:rtl/>
        </w:rPr>
        <w:t>במיוחד</w:t>
      </w:r>
      <w:r>
        <w:rPr>
          <w:rFonts w:hint="cs"/>
          <w:rtl/>
        </w:rPr>
        <w:t xml:space="preserve">, אין מקום לדון בסוגיית היקף </w:t>
      </w:r>
      <w:r w:rsidR="00390763">
        <w:rPr>
          <w:rFonts w:hint="cs"/>
          <w:rtl/>
        </w:rPr>
        <w:t>גוף</w:t>
      </w:r>
      <w:r>
        <w:rPr>
          <w:rFonts w:hint="cs"/>
          <w:rtl/>
        </w:rPr>
        <w:t xml:space="preserve"> הערעור בטרם </w:t>
      </w:r>
      <w:r w:rsidR="008F03D2">
        <w:rPr>
          <w:rFonts w:hint="cs"/>
          <w:rtl/>
        </w:rPr>
        <w:t>הגשת</w:t>
      </w:r>
      <w:r>
        <w:rPr>
          <w:rFonts w:hint="cs"/>
          <w:rtl/>
        </w:rPr>
        <w:t xml:space="preserve"> הערעור. זאת, מן הטעמים הבאים.</w:t>
      </w:r>
    </w:p>
    <w:p w:rsidR="00F20723" w:rsidRDefault="00F20723" w:rsidP="00F20723">
      <w:pPr>
        <w:pStyle w:val="Ruller41"/>
        <w:rPr>
          <w:rtl/>
        </w:rPr>
      </w:pPr>
    </w:p>
    <w:p w:rsidR="00F20723" w:rsidRDefault="00F20723" w:rsidP="008F03D2">
      <w:pPr>
        <w:pStyle w:val="Ruller41"/>
        <w:rPr>
          <w:rtl/>
        </w:rPr>
      </w:pPr>
      <w:r>
        <w:rPr>
          <w:rFonts w:hint="cs"/>
          <w:rtl/>
        </w:rPr>
        <w:t>5.</w:t>
      </w:r>
      <w:r>
        <w:rPr>
          <w:rFonts w:hint="cs"/>
          <w:rtl/>
        </w:rPr>
        <w:tab/>
      </w:r>
      <w:r w:rsidRPr="00226BEF">
        <w:rPr>
          <w:rFonts w:ascii="Miriam" w:hAnsi="Miriam" w:cs="Miriam"/>
          <w:sz w:val="20"/>
          <w:szCs w:val="24"/>
          <w:rtl/>
        </w:rPr>
        <w:t>ראשית</w:t>
      </w:r>
      <w:r>
        <w:rPr>
          <w:rFonts w:hint="cs"/>
          <w:rtl/>
        </w:rPr>
        <w:t xml:space="preserve">, כאשר מוגשת לערכאת הערעור בקשה להגדלת היקף </w:t>
      </w:r>
      <w:r w:rsidR="00390763">
        <w:rPr>
          <w:rFonts w:hint="cs"/>
          <w:rtl/>
        </w:rPr>
        <w:t>גוף</w:t>
      </w:r>
      <w:r>
        <w:rPr>
          <w:rFonts w:hint="cs"/>
          <w:rtl/>
        </w:rPr>
        <w:t xml:space="preserve"> הערעור, בטרם הגשת הערעור, </w:t>
      </w:r>
      <w:r w:rsidR="00344237">
        <w:rPr>
          <w:rFonts w:hint="cs"/>
          <w:rtl/>
        </w:rPr>
        <w:t>קיימת</w:t>
      </w:r>
      <w:r>
        <w:rPr>
          <w:rFonts w:hint="cs"/>
          <w:rtl/>
        </w:rPr>
        <w:t xml:space="preserve"> עמימות אינהרנטית </w:t>
      </w:r>
      <w:r w:rsidR="00344237">
        <w:rPr>
          <w:rFonts w:hint="cs"/>
          <w:rtl/>
        </w:rPr>
        <w:t>בנוגע</w:t>
      </w:r>
      <w:r>
        <w:rPr>
          <w:rFonts w:hint="cs"/>
          <w:rtl/>
        </w:rPr>
        <w:t xml:space="preserve"> להיקפו ומידת מורכבותו של ההליך </w:t>
      </w:r>
      <w:proofErr w:type="spellStart"/>
      <w:r>
        <w:rPr>
          <w:rFonts w:hint="cs"/>
          <w:rtl/>
        </w:rPr>
        <w:t>הערעורי</w:t>
      </w:r>
      <w:proofErr w:type="spellEnd"/>
      <w:r>
        <w:rPr>
          <w:rFonts w:hint="cs"/>
          <w:rtl/>
        </w:rPr>
        <w:t xml:space="preserve"> הצפוי להיות מוגש, שכן בשלב מקדמי זה כל שעומד בפני ערכאת הערעור </w:t>
      </w:r>
      <w:r w:rsidR="00F86F3D">
        <w:rPr>
          <w:rFonts w:hint="cs"/>
          <w:rtl/>
        </w:rPr>
        <w:t>הוא</w:t>
      </w:r>
      <w:r>
        <w:rPr>
          <w:rFonts w:hint="cs"/>
          <w:rtl/>
        </w:rPr>
        <w:t xml:space="preserve"> ההחלטה השיפוטית מושא ההליך. אכן במקרים רבים ההחלטה השיפוטית מושא הערעור מאפשרת לערכאת הערעור ללמוד באופן ראשוני על </w:t>
      </w:r>
      <w:r w:rsidRPr="00155AD6">
        <w:rPr>
          <w:rFonts w:ascii="Miriam" w:hAnsi="Miriam" w:cs="Miriam"/>
          <w:sz w:val="20"/>
          <w:szCs w:val="24"/>
          <w:rtl/>
        </w:rPr>
        <w:t>מורכבות ההליך שהתנהל בבית המשפט קמא</w:t>
      </w:r>
      <w:r>
        <w:rPr>
          <w:rFonts w:hint="cs"/>
          <w:rtl/>
        </w:rPr>
        <w:t xml:space="preserve">. ברם, על מנת לאמוד את </w:t>
      </w:r>
      <w:r w:rsidRPr="00155AD6">
        <w:rPr>
          <w:rFonts w:ascii="Miriam" w:hAnsi="Miriam" w:cs="Miriam"/>
          <w:sz w:val="20"/>
          <w:szCs w:val="24"/>
          <w:rtl/>
        </w:rPr>
        <w:t xml:space="preserve">מורכבות ההליך </w:t>
      </w:r>
      <w:proofErr w:type="spellStart"/>
      <w:r w:rsidRPr="00155AD6">
        <w:rPr>
          <w:rFonts w:ascii="Miriam" w:hAnsi="Miriam" w:cs="Miriam"/>
          <w:sz w:val="20"/>
          <w:szCs w:val="24"/>
          <w:rtl/>
        </w:rPr>
        <w:t>הערעורי</w:t>
      </w:r>
      <w:proofErr w:type="spellEnd"/>
      <w:r>
        <w:rPr>
          <w:rFonts w:hint="cs"/>
          <w:rtl/>
        </w:rPr>
        <w:t xml:space="preserve">, יש צורך לדעת מה טיב הטענות שבכוונתו של יוזם ההליך לשטוח בפני ערכאת הערעור. </w:t>
      </w:r>
      <w:proofErr w:type="spellStart"/>
      <w:r w:rsidR="009A776C">
        <w:rPr>
          <w:rFonts w:hint="cs"/>
          <w:rtl/>
        </w:rPr>
        <w:t>ודוקו</w:t>
      </w:r>
      <w:proofErr w:type="spellEnd"/>
      <w:r w:rsidR="009A776C">
        <w:rPr>
          <w:rFonts w:hint="cs"/>
          <w:rtl/>
        </w:rPr>
        <w:t xml:space="preserve">, </w:t>
      </w:r>
      <w:r>
        <w:rPr>
          <w:rFonts w:hint="cs"/>
          <w:rtl/>
        </w:rPr>
        <w:t xml:space="preserve">לעתים אין הלימה בין מורכבות ההליך בערכאה הדיונית למורכבותו של ההליך שיתברר </w:t>
      </w:r>
      <w:r w:rsidR="00344237">
        <w:rPr>
          <w:rFonts w:hint="cs"/>
          <w:rtl/>
        </w:rPr>
        <w:t>ב</w:t>
      </w:r>
      <w:r>
        <w:rPr>
          <w:rFonts w:hint="cs"/>
          <w:rtl/>
        </w:rPr>
        <w:t xml:space="preserve">ערכאת הערעור. כך למשל, אם הטענה </w:t>
      </w:r>
      <w:proofErr w:type="spellStart"/>
      <w:r>
        <w:rPr>
          <w:rFonts w:hint="cs"/>
          <w:rtl/>
        </w:rPr>
        <w:t>הערעורית</w:t>
      </w:r>
      <w:proofErr w:type="spellEnd"/>
      <w:r>
        <w:rPr>
          <w:rFonts w:hint="cs"/>
          <w:rtl/>
        </w:rPr>
        <w:t xml:space="preserve"> היחידה כנגד פסק-</w:t>
      </w:r>
      <w:r w:rsidR="009A776C">
        <w:rPr>
          <w:rFonts w:hint="cs"/>
          <w:rtl/>
        </w:rPr>
        <w:t>ה</w:t>
      </w:r>
      <w:r>
        <w:rPr>
          <w:rFonts w:hint="cs"/>
          <w:rtl/>
        </w:rPr>
        <w:t xml:space="preserve">דין מופנית אך </w:t>
      </w:r>
      <w:r w:rsidR="00EE522B">
        <w:rPr>
          <w:rFonts w:hint="cs"/>
          <w:rtl/>
        </w:rPr>
        <w:t>כלפי</w:t>
      </w:r>
      <w:r>
        <w:rPr>
          <w:rFonts w:hint="cs"/>
          <w:rtl/>
        </w:rPr>
        <w:t xml:space="preserve"> שיעור ההוצאות שנפסק. עיון בהחלטה השיפוטית העומדת במוקד הערעור </w:t>
      </w:r>
      <w:r w:rsidR="009A776C">
        <w:rPr>
          <w:rFonts w:hint="cs"/>
          <w:rtl/>
        </w:rPr>
        <w:t>אינו יכול</w:t>
      </w:r>
      <w:r>
        <w:rPr>
          <w:rFonts w:hint="cs"/>
          <w:rtl/>
        </w:rPr>
        <w:t xml:space="preserve"> אפוא </w:t>
      </w:r>
      <w:r w:rsidR="00EE522B">
        <w:rPr>
          <w:rFonts w:hint="cs"/>
          <w:rtl/>
        </w:rPr>
        <w:t>כשלעצמו ללמד על אודות רוחבה של יריעת המחלוקת</w:t>
      </w:r>
      <w:r>
        <w:rPr>
          <w:rFonts w:hint="cs"/>
          <w:rtl/>
        </w:rPr>
        <w:t xml:space="preserve"> בערכאת הערעור, אלא במקרים חריגים. זאת, להבדיל ממקרה שבו </w:t>
      </w:r>
      <w:r w:rsidR="00390763">
        <w:rPr>
          <w:rFonts w:hint="cs"/>
          <w:rtl/>
        </w:rPr>
        <w:t xml:space="preserve">הערעור </w:t>
      </w:r>
      <w:r>
        <w:rPr>
          <w:rFonts w:hint="cs"/>
          <w:rtl/>
        </w:rPr>
        <w:t xml:space="preserve">הוגש כבר לבית המשפט באופן המאפשר בחינה </w:t>
      </w:r>
      <w:r w:rsidR="00F86F3D">
        <w:rPr>
          <w:rFonts w:hint="cs"/>
          <w:rtl/>
        </w:rPr>
        <w:t>ממשית</w:t>
      </w:r>
      <w:r>
        <w:rPr>
          <w:rFonts w:hint="cs"/>
          <w:rtl/>
        </w:rPr>
        <w:t xml:space="preserve"> של היקף הסכסוך</w:t>
      </w:r>
      <w:r w:rsidR="00344237">
        <w:rPr>
          <w:rFonts w:hint="cs"/>
          <w:rtl/>
        </w:rPr>
        <w:t xml:space="preserve"> בשלב הערעור</w:t>
      </w:r>
      <w:r>
        <w:rPr>
          <w:rFonts w:hint="cs"/>
          <w:rtl/>
        </w:rPr>
        <w:t xml:space="preserve"> ומורכבותו. בנסיבות אלה, </w:t>
      </w:r>
      <w:proofErr w:type="spellStart"/>
      <w:r>
        <w:rPr>
          <w:rFonts w:hint="cs"/>
          <w:rtl/>
        </w:rPr>
        <w:t>הידרשותו</w:t>
      </w:r>
      <w:proofErr w:type="spellEnd"/>
      <w:r>
        <w:rPr>
          <w:rFonts w:hint="cs"/>
          <w:rtl/>
        </w:rPr>
        <w:t xml:space="preserve"> של בית המשפט לסוגיית הגדלת ההיקף </w:t>
      </w:r>
      <w:r>
        <w:rPr>
          <w:rtl/>
        </w:rPr>
        <w:t>–</w:t>
      </w:r>
      <w:r>
        <w:rPr>
          <w:rFonts w:hint="cs"/>
          <w:rtl/>
        </w:rPr>
        <w:t xml:space="preserve"> בטרם הוגש ההליך</w:t>
      </w:r>
      <w:r w:rsidR="00344237">
        <w:rPr>
          <w:rFonts w:hint="cs"/>
          <w:rtl/>
        </w:rPr>
        <w:t xml:space="preserve"> </w:t>
      </w:r>
      <w:proofErr w:type="spellStart"/>
      <w:r w:rsidR="00344237">
        <w:rPr>
          <w:rFonts w:hint="cs"/>
          <w:rtl/>
        </w:rPr>
        <w:t>הערעורי</w:t>
      </w:r>
      <w:proofErr w:type="spellEnd"/>
      <w:r>
        <w:rPr>
          <w:rFonts w:hint="cs"/>
          <w:rtl/>
        </w:rPr>
        <w:t xml:space="preserve"> </w:t>
      </w:r>
      <w:r>
        <w:rPr>
          <w:rtl/>
        </w:rPr>
        <w:t>–</w:t>
      </w:r>
      <w:r>
        <w:rPr>
          <w:rFonts w:hint="cs"/>
          <w:rtl/>
        </w:rPr>
        <w:t xml:space="preserve"> אינה רצויה ועדיף, ככלל, להכריע בה רק לאחר הגשת הערעור. </w:t>
      </w:r>
    </w:p>
    <w:p w:rsidR="00F20723" w:rsidRDefault="00F20723" w:rsidP="00F20723">
      <w:pPr>
        <w:pStyle w:val="Ruller41"/>
        <w:rPr>
          <w:rtl/>
        </w:rPr>
      </w:pPr>
    </w:p>
    <w:p w:rsidR="00F20723" w:rsidRDefault="00F20723" w:rsidP="008F03D2">
      <w:pPr>
        <w:pStyle w:val="Ruller41"/>
      </w:pPr>
      <w:r>
        <w:rPr>
          <w:rtl/>
        </w:rPr>
        <w:tab/>
      </w:r>
      <w:r>
        <w:rPr>
          <w:rFonts w:hint="cs"/>
          <w:rtl/>
        </w:rPr>
        <w:t xml:space="preserve">לא נעלם מעיניי כי בקשות להגדלת היקף </w:t>
      </w:r>
      <w:r w:rsidR="00390763">
        <w:rPr>
          <w:rFonts w:hint="cs"/>
          <w:rtl/>
        </w:rPr>
        <w:t xml:space="preserve">עשויות להיות מוגשות בהסכמת כל הצדדים להליך. על כן, יטען הטוען </w:t>
      </w:r>
      <w:r>
        <w:rPr>
          <w:rFonts w:hint="cs"/>
          <w:rtl/>
        </w:rPr>
        <w:t xml:space="preserve">כי לשם הכרעה בבקשה </w:t>
      </w:r>
      <w:r w:rsidRPr="0097629F">
        <w:rPr>
          <w:rFonts w:ascii="Century" w:hAnsi="Century" w:cs="Miriam" w:hint="cs"/>
          <w:b/>
          <w:spacing w:val="0"/>
          <w:szCs w:val="24"/>
          <w:rtl/>
        </w:rPr>
        <w:t>מוסכמת</w:t>
      </w:r>
      <w:r w:rsidRPr="0097629F">
        <w:rPr>
          <w:rFonts w:hint="cs"/>
          <w:rtl/>
        </w:rPr>
        <w:t xml:space="preserve"> </w:t>
      </w:r>
      <w:r>
        <w:rPr>
          <w:rFonts w:hint="cs"/>
          <w:rtl/>
        </w:rPr>
        <w:t>לא יהיה צורך בהשקעת משאבים שיפוטים משמעותיים</w:t>
      </w:r>
      <w:r w:rsidR="00344237">
        <w:rPr>
          <w:rFonts w:hint="cs"/>
          <w:rtl/>
        </w:rPr>
        <w:t xml:space="preserve"> בבירור הסוגיה הנוגעת למורכבות </w:t>
      </w:r>
      <w:r w:rsidR="00390763">
        <w:rPr>
          <w:rFonts w:hint="cs"/>
          <w:rtl/>
        </w:rPr>
        <w:t>הערעור</w:t>
      </w:r>
      <w:r>
        <w:rPr>
          <w:rFonts w:hint="cs"/>
          <w:rtl/>
        </w:rPr>
        <w:t xml:space="preserve">, גם אם </w:t>
      </w:r>
      <w:r w:rsidR="00344237">
        <w:rPr>
          <w:rFonts w:hint="cs"/>
          <w:rtl/>
        </w:rPr>
        <w:t>הבקשה</w:t>
      </w:r>
      <w:r>
        <w:rPr>
          <w:rFonts w:hint="cs"/>
          <w:rtl/>
        </w:rPr>
        <w:t xml:space="preserve"> מוגשת </w:t>
      </w:r>
      <w:r w:rsidR="008F03D2">
        <w:rPr>
          <w:rFonts w:hint="cs"/>
          <w:rtl/>
        </w:rPr>
        <w:t>לפני</w:t>
      </w:r>
      <w:r w:rsidR="00390763">
        <w:rPr>
          <w:rFonts w:hint="cs"/>
          <w:rtl/>
        </w:rPr>
        <w:t xml:space="preserve"> הגשת</w:t>
      </w:r>
      <w:r>
        <w:rPr>
          <w:rFonts w:hint="cs"/>
          <w:rtl/>
        </w:rPr>
        <w:t xml:space="preserve"> </w:t>
      </w:r>
      <w:r w:rsidR="00390763">
        <w:rPr>
          <w:rFonts w:hint="cs"/>
          <w:rtl/>
        </w:rPr>
        <w:t>הערעור</w:t>
      </w:r>
      <w:r>
        <w:rPr>
          <w:rFonts w:hint="cs"/>
          <w:rtl/>
        </w:rPr>
        <w:t xml:space="preserve">. ואולם, </w:t>
      </w:r>
      <w:r w:rsidR="00EE522B">
        <w:rPr>
          <w:rFonts w:hint="cs"/>
          <w:rtl/>
        </w:rPr>
        <w:t xml:space="preserve">טענה זו אינה מביאה בחשבון </w:t>
      </w:r>
      <w:r w:rsidR="00EE522B">
        <w:rPr>
          <w:rFonts w:hint="cs"/>
          <w:rtl/>
        </w:rPr>
        <w:lastRenderedPageBreak/>
        <w:t xml:space="preserve">שיקול </w:t>
      </w:r>
      <w:r>
        <w:rPr>
          <w:rFonts w:hint="cs"/>
          <w:rtl/>
        </w:rPr>
        <w:t xml:space="preserve">נוסף וחשוב הנוגע לעניינם של כלל המתדיינים שתיקיהם תלויים ועומדים. כתבי טענות בהיקפים נרחבים מחייבים את בית המשפט להקדיש זמן רב יותר ללימוד ולקריאת החומר בהשוואה לתיקים שבהם מוגשים כתבי טענות קצרים וממוקדים. בכך נגרע זמן שיפוטי יקר ערך שאותו ניתן היה לנצל לצורך טיפול בהליכים אחרים. עמד על כך כב' השופט (כתוארו אז) </w:t>
      </w:r>
      <w:r w:rsidRPr="00175250">
        <w:rPr>
          <w:rFonts w:ascii="Miriam" w:hAnsi="Miriam" w:cs="Miriam"/>
          <w:sz w:val="20"/>
          <w:szCs w:val="24"/>
          <w:rtl/>
        </w:rPr>
        <w:t>א' גרוניס</w:t>
      </w:r>
      <w:r w:rsidRPr="00175250">
        <w:rPr>
          <w:rFonts w:hint="cs"/>
          <w:sz w:val="20"/>
          <w:szCs w:val="24"/>
          <w:rtl/>
        </w:rPr>
        <w:t xml:space="preserve"> </w:t>
      </w:r>
      <w:proofErr w:type="spellStart"/>
      <w:r>
        <w:rPr>
          <w:rFonts w:hint="cs"/>
          <w:rtl/>
        </w:rPr>
        <w:t>ברע"א</w:t>
      </w:r>
      <w:proofErr w:type="spellEnd"/>
      <w:r>
        <w:rPr>
          <w:rFonts w:hint="cs"/>
          <w:rtl/>
        </w:rPr>
        <w:t xml:space="preserve"> 1514/06 </w:t>
      </w:r>
      <w:r w:rsidRPr="00175250">
        <w:rPr>
          <w:rFonts w:ascii="Miriam" w:hAnsi="Miriam" w:cs="Miriam"/>
          <w:sz w:val="20"/>
          <w:szCs w:val="24"/>
          <w:rtl/>
        </w:rPr>
        <w:t>תדיראן מוצרי צריכה בע"מ נ' שאול</w:t>
      </w:r>
      <w:r>
        <w:rPr>
          <w:rFonts w:hint="cs"/>
          <w:rtl/>
        </w:rPr>
        <w:t>, פיסקה 4 (24.4.2006) בציינו כי "</w:t>
      </w:r>
      <w:r w:rsidRPr="00175250">
        <w:rPr>
          <w:rFonts w:hint="eastAsia"/>
          <w:rtl/>
        </w:rPr>
        <w:t>אובדן</w:t>
      </w:r>
      <w:r w:rsidRPr="00175250">
        <w:rPr>
          <w:rtl/>
        </w:rPr>
        <w:t xml:space="preserve"> </w:t>
      </w:r>
      <w:r w:rsidRPr="00175250">
        <w:rPr>
          <w:rFonts w:hint="eastAsia"/>
          <w:rtl/>
        </w:rPr>
        <w:t>זמן</w:t>
      </w:r>
      <w:r w:rsidRPr="00175250">
        <w:rPr>
          <w:rtl/>
        </w:rPr>
        <w:t xml:space="preserve"> </w:t>
      </w:r>
      <w:r w:rsidRPr="00175250">
        <w:rPr>
          <w:rFonts w:hint="eastAsia"/>
          <w:rtl/>
        </w:rPr>
        <w:t>שיפוטי</w:t>
      </w:r>
      <w:r w:rsidRPr="00175250">
        <w:rPr>
          <w:rtl/>
        </w:rPr>
        <w:t xml:space="preserve"> </w:t>
      </w:r>
      <w:r w:rsidRPr="00175250">
        <w:rPr>
          <w:rFonts w:hint="eastAsia"/>
          <w:rtl/>
        </w:rPr>
        <w:t>בשל</w:t>
      </w:r>
      <w:r w:rsidRPr="00175250">
        <w:rPr>
          <w:rtl/>
        </w:rPr>
        <w:t xml:space="preserve"> </w:t>
      </w:r>
      <w:r w:rsidRPr="00175250">
        <w:rPr>
          <w:rFonts w:hint="eastAsia"/>
          <w:rtl/>
        </w:rPr>
        <w:t>הארכת</w:t>
      </w:r>
      <w:r w:rsidRPr="00175250">
        <w:rPr>
          <w:rtl/>
        </w:rPr>
        <w:t xml:space="preserve"> </w:t>
      </w:r>
      <w:r w:rsidRPr="00175250">
        <w:rPr>
          <w:rFonts w:hint="eastAsia"/>
          <w:rtl/>
        </w:rPr>
        <w:t>דיון</w:t>
      </w:r>
      <w:r w:rsidRPr="00175250">
        <w:rPr>
          <w:rtl/>
        </w:rPr>
        <w:t xml:space="preserve"> </w:t>
      </w:r>
      <w:r w:rsidRPr="00175250">
        <w:rPr>
          <w:rFonts w:hint="eastAsia"/>
          <w:rtl/>
        </w:rPr>
        <w:t>שלא</w:t>
      </w:r>
      <w:r w:rsidRPr="00175250">
        <w:rPr>
          <w:rtl/>
        </w:rPr>
        <w:t xml:space="preserve"> </w:t>
      </w:r>
      <w:r w:rsidRPr="00175250">
        <w:rPr>
          <w:rFonts w:hint="eastAsia"/>
          <w:rtl/>
        </w:rPr>
        <w:t>לצורך</w:t>
      </w:r>
      <w:r w:rsidRPr="00175250">
        <w:rPr>
          <w:rtl/>
        </w:rPr>
        <w:t xml:space="preserve"> </w:t>
      </w:r>
      <w:r w:rsidRPr="00175250">
        <w:rPr>
          <w:rFonts w:hint="eastAsia"/>
          <w:rtl/>
        </w:rPr>
        <w:t>פוגע</w:t>
      </w:r>
      <w:r w:rsidRPr="00175250">
        <w:rPr>
          <w:rtl/>
        </w:rPr>
        <w:t xml:space="preserve"> </w:t>
      </w:r>
      <w:r w:rsidRPr="00175250">
        <w:rPr>
          <w:rFonts w:hint="eastAsia"/>
          <w:rtl/>
        </w:rPr>
        <w:t>בכלל</w:t>
      </w:r>
      <w:r w:rsidRPr="00175250">
        <w:rPr>
          <w:rtl/>
        </w:rPr>
        <w:t xml:space="preserve"> </w:t>
      </w:r>
      <w:r w:rsidRPr="00175250">
        <w:rPr>
          <w:rFonts w:hint="eastAsia"/>
          <w:rtl/>
        </w:rPr>
        <w:t>בעלי</w:t>
      </w:r>
      <w:r w:rsidRPr="00175250">
        <w:rPr>
          <w:rtl/>
        </w:rPr>
        <w:t xml:space="preserve"> </w:t>
      </w:r>
      <w:r w:rsidRPr="00175250">
        <w:rPr>
          <w:rFonts w:hint="eastAsia"/>
          <w:rtl/>
        </w:rPr>
        <w:t>הדין</w:t>
      </w:r>
      <w:r w:rsidRPr="00175250">
        <w:rPr>
          <w:rtl/>
        </w:rPr>
        <w:t xml:space="preserve"> </w:t>
      </w:r>
      <w:r w:rsidRPr="00175250">
        <w:rPr>
          <w:rFonts w:hint="eastAsia"/>
          <w:rtl/>
        </w:rPr>
        <w:t>ולאו</w:t>
      </w:r>
      <w:r w:rsidRPr="00175250">
        <w:rPr>
          <w:rtl/>
        </w:rPr>
        <w:t xml:space="preserve"> </w:t>
      </w:r>
      <w:r w:rsidRPr="00175250">
        <w:rPr>
          <w:rFonts w:hint="eastAsia"/>
          <w:rtl/>
        </w:rPr>
        <w:t>דווקא</w:t>
      </w:r>
      <w:r w:rsidRPr="00175250">
        <w:rPr>
          <w:rtl/>
        </w:rPr>
        <w:t xml:space="preserve"> </w:t>
      </w:r>
      <w:r w:rsidRPr="00175250">
        <w:rPr>
          <w:rFonts w:hint="eastAsia"/>
          <w:rtl/>
        </w:rPr>
        <w:t>באלה</w:t>
      </w:r>
      <w:r w:rsidRPr="00175250">
        <w:rPr>
          <w:rtl/>
        </w:rPr>
        <w:t xml:space="preserve"> </w:t>
      </w:r>
      <w:r w:rsidRPr="00175250">
        <w:rPr>
          <w:rFonts w:hint="eastAsia"/>
          <w:rtl/>
        </w:rPr>
        <w:t>שבתיק</w:t>
      </w:r>
      <w:r w:rsidRPr="00175250">
        <w:rPr>
          <w:rtl/>
        </w:rPr>
        <w:t xml:space="preserve"> </w:t>
      </w:r>
      <w:r w:rsidRPr="00175250">
        <w:rPr>
          <w:rFonts w:hint="eastAsia"/>
          <w:rtl/>
        </w:rPr>
        <w:t>המסוים</w:t>
      </w:r>
      <w:r>
        <w:rPr>
          <w:rFonts w:hint="cs"/>
          <w:rtl/>
        </w:rPr>
        <w:t xml:space="preserve">". לנוכח שיקול זה דומה כי אין מקום שבית המשפט ייעתר באופן "אוטומטי" לבקשות מוסכמות להגדלת היקף, וככלל רצוי שתיבחן בכל מקרה לגופו מידת ההצדקה להגדלת ההיקף המבוקשת. בחינה זו מחייבת כאמור היכרות </w:t>
      </w:r>
      <w:r w:rsidR="00F86F3D">
        <w:rPr>
          <w:rFonts w:hint="cs"/>
          <w:rtl/>
        </w:rPr>
        <w:t>ממשית</w:t>
      </w:r>
      <w:r>
        <w:rPr>
          <w:rFonts w:hint="cs"/>
          <w:rtl/>
        </w:rPr>
        <w:t xml:space="preserve"> עם </w:t>
      </w:r>
      <w:r w:rsidR="00EE522B">
        <w:rPr>
          <w:rFonts w:hint="cs"/>
          <w:rtl/>
        </w:rPr>
        <w:t>טיב הטענות שעתידות לעלות בערכאת הערעור</w:t>
      </w:r>
      <w:r>
        <w:rPr>
          <w:rFonts w:hint="cs"/>
          <w:rtl/>
        </w:rPr>
        <w:t xml:space="preserve">. </w:t>
      </w:r>
    </w:p>
    <w:p w:rsidR="00F20723" w:rsidRDefault="00F20723" w:rsidP="00F20723">
      <w:pPr>
        <w:pStyle w:val="Ruller41"/>
        <w:rPr>
          <w:rtl/>
        </w:rPr>
      </w:pPr>
    </w:p>
    <w:p w:rsidR="00F20723" w:rsidRDefault="00F20723" w:rsidP="00390763">
      <w:pPr>
        <w:pStyle w:val="Ruller41"/>
        <w:rPr>
          <w:rtl/>
        </w:rPr>
      </w:pPr>
      <w:r>
        <w:rPr>
          <w:rFonts w:hint="cs"/>
          <w:rtl/>
        </w:rPr>
        <w:t>6.</w:t>
      </w:r>
      <w:r>
        <w:rPr>
          <w:rFonts w:hint="cs"/>
          <w:rtl/>
        </w:rPr>
        <w:tab/>
      </w:r>
      <w:r w:rsidRPr="0081460A">
        <w:rPr>
          <w:rFonts w:ascii="Miriam" w:hAnsi="Miriam" w:cs="Miriam"/>
          <w:sz w:val="20"/>
          <w:szCs w:val="24"/>
          <w:rtl/>
        </w:rPr>
        <w:t>שנית</w:t>
      </w:r>
      <w:r>
        <w:rPr>
          <w:rFonts w:hint="cs"/>
          <w:rtl/>
        </w:rPr>
        <w:t xml:space="preserve">, ערכאת הערעור אינה נוהגת ככלל </w:t>
      </w:r>
      <w:proofErr w:type="spellStart"/>
      <w:r>
        <w:rPr>
          <w:rFonts w:hint="cs"/>
          <w:rtl/>
        </w:rPr>
        <w:t>ליתן</w:t>
      </w:r>
      <w:proofErr w:type="spellEnd"/>
      <w:r>
        <w:rPr>
          <w:rFonts w:hint="cs"/>
          <w:rtl/>
        </w:rPr>
        <w:t xml:space="preserve"> הכרעה מקדמית בסוגיות דיוניות הנוגעות להליך ערעורי אשר טרם הוגש. כך הוא הדבר כאשר בעל דין שאינו משלים עם החלטה שיפוטית שנ</w:t>
      </w:r>
      <w:r w:rsidR="00390763">
        <w:rPr>
          <w:rFonts w:hint="cs"/>
          <w:rtl/>
        </w:rPr>
        <w:t>יתנה בעניינ</w:t>
      </w:r>
      <w:r>
        <w:rPr>
          <w:rFonts w:hint="cs"/>
          <w:rtl/>
        </w:rPr>
        <w:t xml:space="preserve">ו מתלבט בסוגיית דרך תקיפתה </w:t>
      </w:r>
      <w:r>
        <w:rPr>
          <w:rtl/>
        </w:rPr>
        <w:t>–</w:t>
      </w:r>
      <w:r>
        <w:rPr>
          <w:rFonts w:hint="cs"/>
          <w:rtl/>
        </w:rPr>
        <w:t xml:space="preserve"> כערעור בזכות או כבקשת רשות הערעור. </w:t>
      </w:r>
      <w:r w:rsidR="000174F7">
        <w:rPr>
          <w:rFonts w:hint="cs"/>
          <w:rtl/>
        </w:rPr>
        <w:t>במקרים כאלה</w:t>
      </w:r>
      <w:r w:rsidR="00316FA9">
        <w:rPr>
          <w:rFonts w:hint="cs"/>
          <w:rtl/>
        </w:rPr>
        <w:t xml:space="preserve">, </w:t>
      </w:r>
      <w:r>
        <w:rPr>
          <w:rFonts w:hint="cs"/>
          <w:rtl/>
        </w:rPr>
        <w:t xml:space="preserve">ערכאת הערעור </w:t>
      </w:r>
      <w:r w:rsidR="009A776C">
        <w:rPr>
          <w:rFonts w:hint="cs"/>
          <w:rtl/>
        </w:rPr>
        <w:t>לא</w:t>
      </w:r>
      <w:r>
        <w:rPr>
          <w:rFonts w:hint="cs"/>
          <w:rtl/>
        </w:rPr>
        <w:t xml:space="preserve"> נדרשת לסוגיית הסיווג הנכון עובר להגשת ההליך, כמעין "פרה-רולינג" (ראו, </w:t>
      </w:r>
      <w:proofErr w:type="spellStart"/>
      <w:r w:rsidRPr="002E0DAE">
        <w:rPr>
          <w:rFonts w:hint="eastAsia"/>
          <w:rtl/>
        </w:rPr>
        <w:t>בש</w:t>
      </w:r>
      <w:r w:rsidRPr="002E0DAE">
        <w:rPr>
          <w:rtl/>
        </w:rPr>
        <w:t>"</w:t>
      </w:r>
      <w:r w:rsidRPr="002E0DAE">
        <w:rPr>
          <w:rFonts w:hint="eastAsia"/>
          <w:rtl/>
        </w:rPr>
        <w:t>מ</w:t>
      </w:r>
      <w:proofErr w:type="spellEnd"/>
      <w:r w:rsidRPr="002E0DAE">
        <w:rPr>
          <w:rtl/>
        </w:rPr>
        <w:t xml:space="preserve"> 4532/15 </w:t>
      </w:r>
      <w:r w:rsidRPr="002E0DAE">
        <w:rPr>
          <w:rFonts w:ascii="Miriam" w:hAnsi="Miriam" w:cs="Miriam"/>
          <w:sz w:val="20"/>
          <w:szCs w:val="24"/>
          <w:rtl/>
        </w:rPr>
        <w:t xml:space="preserve">עיריית תל אביב יפו נ' כץ, גבע, </w:t>
      </w:r>
      <w:proofErr w:type="spellStart"/>
      <w:r w:rsidRPr="002E0DAE">
        <w:rPr>
          <w:rFonts w:ascii="Miriam" w:hAnsi="Miriam" w:cs="Miriam"/>
          <w:sz w:val="20"/>
          <w:szCs w:val="24"/>
          <w:rtl/>
        </w:rPr>
        <w:t>איצקוביץ</w:t>
      </w:r>
      <w:proofErr w:type="spellEnd"/>
      <w:r w:rsidRPr="002E0DAE">
        <w:rPr>
          <w:rFonts w:ascii="Miriam" w:hAnsi="Miriam" w:cs="Miriam"/>
          <w:sz w:val="20"/>
          <w:szCs w:val="24"/>
          <w:rtl/>
        </w:rPr>
        <w:t xml:space="preserve"> קי ג'י איי בע"מ</w:t>
      </w:r>
      <w:r w:rsidRPr="002E0DAE">
        <w:rPr>
          <w:rtl/>
        </w:rPr>
        <w:t xml:space="preserve"> (30.6.2015)</w:t>
      </w:r>
      <w:r>
        <w:rPr>
          <w:rFonts w:hint="cs"/>
          <w:rtl/>
        </w:rPr>
        <w:t xml:space="preserve">; בש"א 4644/20 </w:t>
      </w:r>
      <w:proofErr w:type="spellStart"/>
      <w:r w:rsidRPr="002E0DAE">
        <w:rPr>
          <w:rFonts w:ascii="Miriam" w:hAnsi="Miriam" w:cs="Miriam"/>
          <w:sz w:val="20"/>
          <w:szCs w:val="24"/>
          <w:rtl/>
        </w:rPr>
        <w:t>זילברשלג</w:t>
      </w:r>
      <w:proofErr w:type="spellEnd"/>
      <w:r w:rsidRPr="002E0DAE">
        <w:rPr>
          <w:rFonts w:ascii="Miriam" w:hAnsi="Miriam" w:cs="Miriam"/>
          <w:sz w:val="20"/>
          <w:szCs w:val="24"/>
          <w:rtl/>
        </w:rPr>
        <w:t xml:space="preserve"> נ' פלוני</w:t>
      </w:r>
      <w:r w:rsidRPr="002E0DAE">
        <w:rPr>
          <w:rFonts w:hint="cs"/>
          <w:sz w:val="20"/>
          <w:szCs w:val="24"/>
          <w:rtl/>
        </w:rPr>
        <w:t xml:space="preserve"> </w:t>
      </w:r>
      <w:r>
        <w:rPr>
          <w:rFonts w:hint="cs"/>
          <w:rtl/>
        </w:rPr>
        <w:t xml:space="preserve">(7.7.2020); והשוו, </w:t>
      </w:r>
      <w:proofErr w:type="spellStart"/>
      <w:r>
        <w:rPr>
          <w:rFonts w:hint="cs"/>
          <w:rtl/>
        </w:rPr>
        <w:t>בשג"ץ</w:t>
      </w:r>
      <w:proofErr w:type="spellEnd"/>
      <w:r>
        <w:rPr>
          <w:rFonts w:hint="cs"/>
          <w:rtl/>
        </w:rPr>
        <w:t xml:space="preserve"> 2905/18 </w:t>
      </w:r>
      <w:r w:rsidRPr="0081460A">
        <w:rPr>
          <w:rFonts w:ascii="Miriam" w:hAnsi="Miriam" w:cs="Miriam"/>
          <w:sz w:val="20"/>
          <w:szCs w:val="24"/>
          <w:rtl/>
        </w:rPr>
        <w:t>מועצה אזורית מטה אשר נ' ממשלת ישראל</w:t>
      </w:r>
      <w:r>
        <w:rPr>
          <w:rFonts w:hint="cs"/>
          <w:rtl/>
        </w:rPr>
        <w:t xml:space="preserve"> (22.4.2018) שם נקבע כי לא ניתן לבקש הכרעה מוקדמת בשאלה אם עתירה מסוימת לבית המשפט הגבוה לצדק, שטרם הוגשה, עשויה ללקות בשיהוי או עשויה להיחשב כעתירה מוקדמת). באותו אופן, הכרעה מקדמית </w:t>
      </w:r>
      <w:r>
        <w:rPr>
          <w:rtl/>
        </w:rPr>
        <w:t>–</w:t>
      </w:r>
      <w:r>
        <w:rPr>
          <w:rFonts w:hint="cs"/>
          <w:rtl/>
        </w:rPr>
        <w:t xml:space="preserve"> עובר להגשת ההליך </w:t>
      </w:r>
      <w:proofErr w:type="spellStart"/>
      <w:r>
        <w:rPr>
          <w:rFonts w:hint="cs"/>
          <w:rtl/>
        </w:rPr>
        <w:t>הערעורי</w:t>
      </w:r>
      <w:proofErr w:type="spellEnd"/>
      <w:r>
        <w:rPr>
          <w:rFonts w:hint="cs"/>
          <w:rtl/>
        </w:rPr>
        <w:t xml:space="preserve"> </w:t>
      </w:r>
      <w:r>
        <w:rPr>
          <w:rtl/>
        </w:rPr>
        <w:t>–</w:t>
      </w:r>
      <w:r>
        <w:rPr>
          <w:rFonts w:hint="cs"/>
          <w:rtl/>
        </w:rPr>
        <w:t xml:space="preserve"> באשר למורכבותו של ההליך שטרם הוגש, מהווה אף היא מעין "פרה-רולינג" שהרי מידת מורכבותו של ההליך משליכה כמובן על היקפו הראוי של </w:t>
      </w:r>
      <w:r w:rsidR="00390763">
        <w:rPr>
          <w:rFonts w:hint="cs"/>
          <w:rtl/>
        </w:rPr>
        <w:t>גוף</w:t>
      </w:r>
      <w:r>
        <w:rPr>
          <w:rFonts w:hint="cs"/>
          <w:rtl/>
        </w:rPr>
        <w:t xml:space="preserve"> הערעור.</w:t>
      </w:r>
    </w:p>
    <w:p w:rsidR="00F20723" w:rsidRDefault="00F20723" w:rsidP="00F20723">
      <w:pPr>
        <w:pStyle w:val="Ruller41"/>
        <w:rPr>
          <w:rtl/>
        </w:rPr>
      </w:pPr>
    </w:p>
    <w:p w:rsidR="00F20723" w:rsidRDefault="00F20723" w:rsidP="00390763">
      <w:pPr>
        <w:pStyle w:val="Ruller41"/>
        <w:rPr>
          <w:rtl/>
        </w:rPr>
      </w:pPr>
      <w:r>
        <w:rPr>
          <w:rFonts w:hint="cs"/>
          <w:rtl/>
        </w:rPr>
        <w:t>7.</w:t>
      </w:r>
      <w:r>
        <w:rPr>
          <w:rtl/>
        </w:rPr>
        <w:tab/>
      </w:r>
      <w:r w:rsidRPr="0081460A">
        <w:rPr>
          <w:rFonts w:ascii="Miriam" w:hAnsi="Miriam" w:cs="Miriam"/>
          <w:sz w:val="20"/>
          <w:szCs w:val="24"/>
          <w:rtl/>
        </w:rPr>
        <w:t>שלישית</w:t>
      </w:r>
      <w:r>
        <w:rPr>
          <w:rFonts w:hint="cs"/>
          <w:rtl/>
        </w:rPr>
        <w:t xml:space="preserve">, </w:t>
      </w:r>
      <w:r w:rsidR="009A776C">
        <w:rPr>
          <w:rFonts w:hint="cs"/>
          <w:rtl/>
        </w:rPr>
        <w:t>בהתאם לתקנה</w:t>
      </w:r>
      <w:r>
        <w:rPr>
          <w:rFonts w:hint="cs"/>
          <w:rtl/>
        </w:rPr>
        <w:t xml:space="preserve"> 176(ב) לתקנות ניתן לסטות מן ההיקפים המקסימליים שנקבעו בתקנות בהתקיים "טעמים מיוחדים" בלבד. </w:t>
      </w:r>
      <w:r w:rsidRPr="0097629F">
        <w:rPr>
          <w:rFonts w:ascii="Century" w:hAnsi="Century" w:cs="Miriam" w:hint="cs"/>
          <w:b/>
          <w:spacing w:val="0"/>
          <w:szCs w:val="24"/>
          <w:rtl/>
        </w:rPr>
        <w:t>טעמים מיוחדים</w:t>
      </w:r>
      <w:r w:rsidRPr="0097629F">
        <w:rPr>
          <w:rFonts w:hint="cs"/>
          <w:rtl/>
        </w:rPr>
        <w:t xml:space="preserve"> </w:t>
      </w:r>
      <w:r w:rsidR="00EE522B">
        <w:rPr>
          <w:rFonts w:hint="cs"/>
          <w:rtl/>
        </w:rPr>
        <w:t>מת</w:t>
      </w:r>
      <w:r>
        <w:rPr>
          <w:rFonts w:hint="cs"/>
          <w:rtl/>
        </w:rPr>
        <w:t xml:space="preserve">קיימים, כמובן, רק </w:t>
      </w:r>
      <w:r w:rsidRPr="0097629F">
        <w:rPr>
          <w:rFonts w:ascii="Century" w:hAnsi="Century" w:cs="Miriam" w:hint="cs"/>
          <w:b/>
          <w:spacing w:val="0"/>
          <w:szCs w:val="24"/>
          <w:rtl/>
        </w:rPr>
        <w:t>במקרים מיוחדים</w:t>
      </w:r>
      <w:r>
        <w:rPr>
          <w:rFonts w:hint="cs"/>
          <w:rtl/>
        </w:rPr>
        <w:t xml:space="preserve">. מבלי לטעת מסמרות נראה כי לא יהיה מקום </w:t>
      </w:r>
      <w:r w:rsidR="009A776C">
        <w:rPr>
          <w:rFonts w:hint="cs"/>
          <w:rtl/>
        </w:rPr>
        <w:t xml:space="preserve">ככלל </w:t>
      </w:r>
      <w:r>
        <w:rPr>
          <w:rFonts w:hint="cs"/>
          <w:rtl/>
        </w:rPr>
        <w:t xml:space="preserve">לסטות מן ההיקפים </w:t>
      </w:r>
      <w:r w:rsidR="009A776C">
        <w:rPr>
          <w:rFonts w:hint="cs"/>
          <w:rtl/>
        </w:rPr>
        <w:t>המקסימליים שנקבעו</w:t>
      </w:r>
      <w:r>
        <w:rPr>
          <w:rFonts w:hint="cs"/>
          <w:rtl/>
        </w:rPr>
        <w:t xml:space="preserve"> בתקנות</w:t>
      </w:r>
      <w:r w:rsidR="009A776C">
        <w:rPr>
          <w:rFonts w:hint="cs"/>
          <w:rtl/>
        </w:rPr>
        <w:t xml:space="preserve">. יצוין, כי מדובר בהיקפים רחבים למדי </w:t>
      </w:r>
      <w:r w:rsidR="00B26AB5">
        <w:rPr>
          <w:rFonts w:hint="cs"/>
          <w:rtl/>
        </w:rPr>
        <w:t>ו</w:t>
      </w:r>
      <w:r>
        <w:rPr>
          <w:rFonts w:hint="cs"/>
          <w:rtl/>
        </w:rPr>
        <w:t xml:space="preserve">על מנת לסבר את האוזן יצוין כי </w:t>
      </w:r>
      <w:r w:rsidR="00B26AB5">
        <w:rPr>
          <w:rFonts w:hint="cs"/>
          <w:rtl/>
        </w:rPr>
        <w:t xml:space="preserve">בהליכים </w:t>
      </w:r>
      <w:proofErr w:type="spellStart"/>
      <w:r w:rsidR="00B26AB5">
        <w:rPr>
          <w:rFonts w:hint="cs"/>
          <w:rtl/>
        </w:rPr>
        <w:t>ערעוריים</w:t>
      </w:r>
      <w:proofErr w:type="spellEnd"/>
      <w:r w:rsidR="00B26AB5">
        <w:rPr>
          <w:rFonts w:hint="cs"/>
          <w:rtl/>
        </w:rPr>
        <w:t xml:space="preserve"> המתבררים בבית משפט זה שבהם נדרשים בעלי הדין להשלים את טיעוניהם בכתב, </w:t>
      </w:r>
      <w:r>
        <w:rPr>
          <w:rFonts w:hint="cs"/>
          <w:rtl/>
        </w:rPr>
        <w:t xml:space="preserve">נקצב לבעלי הדין מספר העמודים המקסימלי של כל כתב סיכומים והיקף זה אינו עולה, ככלל, על עשרה עמודים, אלא במקרים חריגים. בתקנות החדשות, לעומת זאת, נקבעה מגבלה אחידה של 12 עמודים </w:t>
      </w:r>
      <w:r w:rsidR="00390763">
        <w:rPr>
          <w:rFonts w:hint="cs"/>
          <w:rtl/>
        </w:rPr>
        <w:t>לגוף</w:t>
      </w:r>
      <w:r>
        <w:rPr>
          <w:rFonts w:hint="cs"/>
          <w:rtl/>
        </w:rPr>
        <w:t xml:space="preserve"> הערעור </w:t>
      </w:r>
      <w:r w:rsidR="00390763">
        <w:rPr>
          <w:rFonts w:hint="cs"/>
          <w:rtl/>
        </w:rPr>
        <w:t xml:space="preserve">ולתשובה לערעור </w:t>
      </w:r>
      <w:r>
        <w:rPr>
          <w:rFonts w:hint="cs"/>
          <w:rtl/>
        </w:rPr>
        <w:t xml:space="preserve">(ראו, תקנות 134(א)(3) ו-140(א)(1) לתקנות סדר הדין). </w:t>
      </w:r>
      <w:r w:rsidR="00390763">
        <w:rPr>
          <w:rFonts w:hint="cs"/>
          <w:rtl/>
        </w:rPr>
        <w:t xml:space="preserve">מגבלה זו חלה </w:t>
      </w:r>
      <w:r w:rsidR="00390763">
        <w:rPr>
          <w:rFonts w:hint="cs"/>
          <w:rtl/>
        </w:rPr>
        <w:t>ללא אבחנה</w:t>
      </w:r>
      <w:r w:rsidR="00390763">
        <w:rPr>
          <w:rFonts w:hint="cs"/>
          <w:rtl/>
        </w:rPr>
        <w:t xml:space="preserve"> על כל סוגי הערעורים המוגשים לבית המשפט העליון, כלומר </w:t>
      </w:r>
      <w:r w:rsidR="00390763">
        <w:rPr>
          <w:rFonts w:hint="cs"/>
          <w:rtl/>
        </w:rPr>
        <w:lastRenderedPageBreak/>
        <w:t>גם בהליכים שאינם מורכבים</w:t>
      </w:r>
      <w:r w:rsidR="00390763">
        <w:rPr>
          <w:rFonts w:hint="cs"/>
          <w:rtl/>
        </w:rPr>
        <w:t xml:space="preserve">. </w:t>
      </w:r>
      <w:r>
        <w:rPr>
          <w:rFonts w:hint="cs"/>
          <w:rtl/>
        </w:rPr>
        <w:t xml:space="preserve">במרבית המקרים יוכלו אפוא מעתה בעלי הדין המתדיינים בהליכים </w:t>
      </w:r>
      <w:proofErr w:type="spellStart"/>
      <w:r>
        <w:rPr>
          <w:rFonts w:hint="cs"/>
          <w:rtl/>
        </w:rPr>
        <w:t>ערעוריים</w:t>
      </w:r>
      <w:proofErr w:type="spellEnd"/>
      <w:r>
        <w:rPr>
          <w:rFonts w:hint="cs"/>
          <w:rtl/>
        </w:rPr>
        <w:t xml:space="preserve"> להגיש כתבי טענות ארוכים יותר בהשוואה להיקף שעמד לרשותם בעבר (השוו גם לתקנה 9(ד) לתקנות הקובעת כי ניתן להגיש כתב תביעה וכתב הגנה בהיקף של </w:t>
      </w:r>
      <w:r w:rsidRPr="00324CDD">
        <w:rPr>
          <w:rFonts w:ascii="Century" w:hAnsi="Century" w:cs="Miriam" w:hint="cs"/>
          <w:b/>
          <w:spacing w:val="0"/>
          <w:szCs w:val="24"/>
          <w:rtl/>
        </w:rPr>
        <w:t>שלושים עמודים</w:t>
      </w:r>
      <w:r>
        <w:rPr>
          <w:rFonts w:hint="cs"/>
          <w:rtl/>
        </w:rPr>
        <w:t xml:space="preserve"> בתובענה לסעד כספי בבית משפט מחוזי שסכומה עולה על שניים וחצי מיליון ש"ח ו</w:t>
      </w:r>
      <w:r w:rsidRPr="00C30274">
        <w:rPr>
          <w:rFonts w:hint="eastAsia"/>
          <w:rtl/>
        </w:rPr>
        <w:t>בתובענה</w:t>
      </w:r>
      <w:r w:rsidRPr="00C30274">
        <w:rPr>
          <w:rtl/>
        </w:rPr>
        <w:t xml:space="preserve"> </w:t>
      </w:r>
      <w:r w:rsidRPr="00C30274">
        <w:rPr>
          <w:rFonts w:hint="eastAsia"/>
          <w:rtl/>
        </w:rPr>
        <w:t>לפיצויים</w:t>
      </w:r>
      <w:r w:rsidRPr="00C30274">
        <w:rPr>
          <w:rtl/>
        </w:rPr>
        <w:t xml:space="preserve"> </w:t>
      </w:r>
      <w:r w:rsidRPr="00C30274">
        <w:rPr>
          <w:rFonts w:hint="eastAsia"/>
          <w:rtl/>
        </w:rPr>
        <w:t>בשל</w:t>
      </w:r>
      <w:r w:rsidRPr="00C30274">
        <w:rPr>
          <w:rtl/>
        </w:rPr>
        <w:t xml:space="preserve"> </w:t>
      </w:r>
      <w:r w:rsidRPr="00C30274">
        <w:rPr>
          <w:rFonts w:hint="eastAsia"/>
          <w:rtl/>
        </w:rPr>
        <w:t>נזק</w:t>
      </w:r>
      <w:r w:rsidRPr="00C30274">
        <w:rPr>
          <w:rtl/>
        </w:rPr>
        <w:t xml:space="preserve"> </w:t>
      </w:r>
      <w:r w:rsidRPr="00C30274">
        <w:rPr>
          <w:rFonts w:hint="eastAsia"/>
          <w:rtl/>
        </w:rPr>
        <w:t>גוף</w:t>
      </w:r>
      <w:r w:rsidRPr="00C30274">
        <w:rPr>
          <w:rtl/>
        </w:rPr>
        <w:t xml:space="preserve"> </w:t>
      </w:r>
      <w:r w:rsidRPr="00C30274">
        <w:rPr>
          <w:rFonts w:hint="eastAsia"/>
          <w:rtl/>
        </w:rPr>
        <w:t>ותובענה</w:t>
      </w:r>
      <w:r w:rsidRPr="00C30274">
        <w:rPr>
          <w:rtl/>
        </w:rPr>
        <w:t xml:space="preserve"> </w:t>
      </w:r>
      <w:r w:rsidRPr="00C30274">
        <w:rPr>
          <w:rFonts w:hint="eastAsia"/>
          <w:rtl/>
        </w:rPr>
        <w:t>שעילתה</w:t>
      </w:r>
      <w:r w:rsidRPr="00C30274">
        <w:rPr>
          <w:rtl/>
        </w:rPr>
        <w:t xml:space="preserve"> </w:t>
      </w:r>
      <w:r w:rsidRPr="00C30274">
        <w:rPr>
          <w:rFonts w:hint="eastAsia"/>
          <w:rtl/>
        </w:rPr>
        <w:t>בחוק</w:t>
      </w:r>
      <w:r w:rsidRPr="00C30274">
        <w:rPr>
          <w:rtl/>
        </w:rPr>
        <w:t xml:space="preserve"> </w:t>
      </w:r>
      <w:r w:rsidRPr="00C30274">
        <w:rPr>
          <w:rFonts w:hint="eastAsia"/>
          <w:rtl/>
        </w:rPr>
        <w:t>פיצויים</w:t>
      </w:r>
      <w:r w:rsidRPr="00C30274">
        <w:rPr>
          <w:rtl/>
        </w:rPr>
        <w:t xml:space="preserve"> </w:t>
      </w:r>
      <w:r w:rsidRPr="00C30274">
        <w:rPr>
          <w:rFonts w:hint="eastAsia"/>
          <w:rtl/>
        </w:rPr>
        <w:t>לנפגעי</w:t>
      </w:r>
      <w:r w:rsidRPr="00C30274">
        <w:rPr>
          <w:rtl/>
        </w:rPr>
        <w:t xml:space="preserve"> </w:t>
      </w:r>
      <w:r w:rsidRPr="00C30274">
        <w:rPr>
          <w:rFonts w:hint="eastAsia"/>
          <w:rtl/>
        </w:rPr>
        <w:t>תאונות</w:t>
      </w:r>
      <w:r w:rsidRPr="00C30274">
        <w:rPr>
          <w:rtl/>
        </w:rPr>
        <w:t xml:space="preserve"> </w:t>
      </w:r>
      <w:r w:rsidRPr="00C30274">
        <w:rPr>
          <w:rFonts w:hint="eastAsia"/>
          <w:rtl/>
        </w:rPr>
        <w:t>דרכים</w:t>
      </w:r>
      <w:r w:rsidRPr="00C30274">
        <w:rPr>
          <w:rtl/>
        </w:rPr>
        <w:t xml:space="preserve"> </w:t>
      </w:r>
      <w:r w:rsidRPr="00C30274">
        <w:rPr>
          <w:rFonts w:hint="eastAsia"/>
          <w:rtl/>
        </w:rPr>
        <w:t>שהוגשו</w:t>
      </w:r>
      <w:r w:rsidRPr="00C30274">
        <w:rPr>
          <w:rtl/>
        </w:rPr>
        <w:t xml:space="preserve"> </w:t>
      </w:r>
      <w:r w:rsidRPr="00C30274">
        <w:rPr>
          <w:rFonts w:hint="eastAsia"/>
          <w:rtl/>
        </w:rPr>
        <w:t>לבית</w:t>
      </w:r>
      <w:r w:rsidRPr="00C30274">
        <w:rPr>
          <w:rtl/>
        </w:rPr>
        <w:t xml:space="preserve"> </w:t>
      </w:r>
      <w:r w:rsidRPr="00C30274">
        <w:rPr>
          <w:rFonts w:hint="eastAsia"/>
          <w:rtl/>
        </w:rPr>
        <w:t>המשפט</w:t>
      </w:r>
      <w:r w:rsidRPr="00C30274">
        <w:rPr>
          <w:rtl/>
        </w:rPr>
        <w:t xml:space="preserve"> </w:t>
      </w:r>
      <w:r w:rsidRPr="00C30274">
        <w:rPr>
          <w:rFonts w:hint="eastAsia"/>
          <w:rtl/>
        </w:rPr>
        <w:t>המחוזי</w:t>
      </w:r>
      <w:r>
        <w:rPr>
          <w:rFonts w:hint="cs"/>
          <w:rtl/>
        </w:rPr>
        <w:t xml:space="preserve">; גם כאן מדובר במגבלה מקסימלית רחבה למדי). </w:t>
      </w:r>
      <w:r w:rsidR="00640B30">
        <w:rPr>
          <w:rFonts w:hint="cs"/>
          <w:rtl/>
        </w:rPr>
        <w:t>זאת ועוד,</w:t>
      </w:r>
      <w:r>
        <w:rPr>
          <w:rFonts w:hint="cs"/>
          <w:rtl/>
        </w:rPr>
        <w:t xml:space="preserve"> בתקנות החדשות </w:t>
      </w:r>
      <w:r w:rsidR="00B26AB5">
        <w:rPr>
          <w:rFonts w:hint="cs"/>
          <w:rtl/>
        </w:rPr>
        <w:t>הוארכו המועדים</w:t>
      </w:r>
      <w:r>
        <w:rPr>
          <w:rFonts w:hint="cs"/>
          <w:rtl/>
        </w:rPr>
        <w:t xml:space="preserve"> להגשת ערעור בזכות (מ-45 ימים ל-60 ימים) ו</w:t>
      </w:r>
      <w:r w:rsidR="00B26AB5">
        <w:rPr>
          <w:rFonts w:hint="cs"/>
          <w:rtl/>
        </w:rPr>
        <w:t xml:space="preserve">להגשת </w:t>
      </w:r>
      <w:r>
        <w:rPr>
          <w:rFonts w:hint="cs"/>
          <w:rtl/>
        </w:rPr>
        <w:t xml:space="preserve">בקשת רשות ערעור (מ-30 ימים ל-60 ימים). לא ניתן לשלול את האפשרות כי מחוקק המשנה בחר להאריך את </w:t>
      </w:r>
      <w:r w:rsidR="00B26AB5">
        <w:rPr>
          <w:rFonts w:hint="cs"/>
          <w:rtl/>
        </w:rPr>
        <w:t>התקופות</w:t>
      </w:r>
      <w:r>
        <w:rPr>
          <w:rFonts w:hint="cs"/>
          <w:rtl/>
        </w:rPr>
        <w:t xml:space="preserve"> להגשת ערעור בזכות או בקשת רשות ערעור גם על רקע מגבלת העמודים המקסימלית שנקבעה </w:t>
      </w:r>
      <w:r w:rsidR="00390763">
        <w:rPr>
          <w:rFonts w:hint="cs"/>
          <w:rtl/>
        </w:rPr>
        <w:t>לגוף</w:t>
      </w:r>
      <w:r>
        <w:rPr>
          <w:rFonts w:hint="cs"/>
          <w:rtl/>
        </w:rPr>
        <w:t xml:space="preserve"> הערעור, </w:t>
      </w:r>
      <w:r>
        <w:rPr>
          <w:rFonts w:hint="eastAsia"/>
          <w:rtl/>
        </w:rPr>
        <w:t>ש</w:t>
      </w:r>
      <w:r>
        <w:rPr>
          <w:rFonts w:hint="cs"/>
          <w:rtl/>
        </w:rPr>
        <w:t xml:space="preserve">הרי </w:t>
      </w:r>
      <w:r>
        <w:rPr>
          <w:rFonts w:hint="eastAsia"/>
          <w:rtl/>
        </w:rPr>
        <w:t>כתיבה</w:t>
      </w:r>
      <w:r>
        <w:rPr>
          <w:rtl/>
        </w:rPr>
        <w:t xml:space="preserve"> </w:t>
      </w:r>
      <w:r>
        <w:rPr>
          <w:rFonts w:hint="eastAsia"/>
          <w:rtl/>
        </w:rPr>
        <w:t>קצרה</w:t>
      </w:r>
      <w:r>
        <w:rPr>
          <w:rtl/>
        </w:rPr>
        <w:t xml:space="preserve"> </w:t>
      </w:r>
      <w:r>
        <w:rPr>
          <w:rFonts w:hint="eastAsia"/>
          <w:rtl/>
        </w:rPr>
        <w:t>דורשת</w:t>
      </w:r>
      <w:r>
        <w:rPr>
          <w:rtl/>
        </w:rPr>
        <w:t xml:space="preserve"> </w:t>
      </w:r>
      <w:r>
        <w:rPr>
          <w:rFonts w:hint="cs"/>
          <w:rtl/>
        </w:rPr>
        <w:t xml:space="preserve">לא אחת </w:t>
      </w:r>
      <w:r>
        <w:rPr>
          <w:rFonts w:hint="eastAsia"/>
          <w:rtl/>
        </w:rPr>
        <w:t>השקעת</w:t>
      </w:r>
      <w:r>
        <w:rPr>
          <w:rtl/>
        </w:rPr>
        <w:t xml:space="preserve"> </w:t>
      </w:r>
      <w:r>
        <w:rPr>
          <w:rFonts w:hint="eastAsia"/>
          <w:rtl/>
        </w:rPr>
        <w:t>זמן</w:t>
      </w:r>
      <w:r>
        <w:rPr>
          <w:rtl/>
        </w:rPr>
        <w:t xml:space="preserve"> </w:t>
      </w:r>
      <w:r>
        <w:rPr>
          <w:rFonts w:hint="eastAsia"/>
          <w:rtl/>
        </w:rPr>
        <w:t>רב</w:t>
      </w:r>
      <w:r>
        <w:rPr>
          <w:rFonts w:hint="cs"/>
          <w:rtl/>
        </w:rPr>
        <w:t xml:space="preserve"> יותר מכתיבה ארוכה ולא יעילה (</w:t>
      </w:r>
      <w:r w:rsidR="002757A7">
        <w:rPr>
          <w:rFonts w:hint="cs"/>
          <w:rtl/>
        </w:rPr>
        <w:t xml:space="preserve">ראו והשוו לדברי כב' השופט (כתוארו אז) </w:t>
      </w:r>
      <w:r w:rsidR="002757A7" w:rsidRPr="002757A7">
        <w:rPr>
          <w:rFonts w:ascii="Century" w:hAnsi="Century" w:cs="Miriam" w:hint="cs"/>
          <w:b/>
          <w:spacing w:val="0"/>
          <w:szCs w:val="24"/>
          <w:rtl/>
        </w:rPr>
        <w:t>א' ברק</w:t>
      </w:r>
      <w:r w:rsidR="002757A7" w:rsidRPr="002757A7">
        <w:rPr>
          <w:rFonts w:hint="cs"/>
          <w:rtl/>
        </w:rPr>
        <w:t xml:space="preserve"> </w:t>
      </w:r>
      <w:r w:rsidR="002757A7">
        <w:rPr>
          <w:rFonts w:hint="cs"/>
          <w:rtl/>
        </w:rPr>
        <w:t>ב</w:t>
      </w:r>
      <w:r>
        <w:rPr>
          <w:rFonts w:hint="cs"/>
          <w:rtl/>
        </w:rPr>
        <w:t xml:space="preserve">בג"ץ 428/86 </w:t>
      </w:r>
      <w:r w:rsidRPr="000505C9">
        <w:rPr>
          <w:rFonts w:ascii="Miriam" w:hAnsi="Miriam" w:cs="Miriam"/>
          <w:sz w:val="20"/>
          <w:szCs w:val="24"/>
          <w:rtl/>
        </w:rPr>
        <w:t>ברזילי נ' ממשלת ישראל</w:t>
      </w:r>
      <w:r>
        <w:rPr>
          <w:rFonts w:hint="cs"/>
          <w:rtl/>
        </w:rPr>
        <w:t>, פ"ד מ(3) 505, 586 (19</w:t>
      </w:r>
      <w:r w:rsidR="002757A7">
        <w:rPr>
          <w:rFonts w:hint="cs"/>
          <w:rtl/>
        </w:rPr>
        <w:t>86))</w:t>
      </w:r>
      <w:r>
        <w:rPr>
          <w:rFonts w:hint="cs"/>
          <w:rtl/>
        </w:rPr>
        <w:t>.</w:t>
      </w:r>
      <w:r w:rsidR="00640B30">
        <w:rPr>
          <w:rFonts w:hint="cs"/>
          <w:rtl/>
        </w:rPr>
        <w:t xml:space="preserve"> </w:t>
      </w:r>
    </w:p>
    <w:p w:rsidR="00F20723" w:rsidRDefault="00F20723" w:rsidP="00F20723">
      <w:pPr>
        <w:pStyle w:val="Ruller41"/>
        <w:rPr>
          <w:rtl/>
        </w:rPr>
      </w:pPr>
    </w:p>
    <w:p w:rsidR="00F20723" w:rsidRDefault="00F20723" w:rsidP="00390763">
      <w:pPr>
        <w:pStyle w:val="Ruller41"/>
        <w:rPr>
          <w:rtl/>
        </w:rPr>
      </w:pPr>
      <w:r>
        <w:rPr>
          <w:rFonts w:hint="cs"/>
          <w:rtl/>
        </w:rPr>
        <w:t>8.</w:t>
      </w:r>
      <w:r>
        <w:rPr>
          <w:rtl/>
        </w:rPr>
        <w:tab/>
      </w:r>
      <w:r>
        <w:rPr>
          <w:rFonts w:hint="cs"/>
          <w:rtl/>
        </w:rPr>
        <w:t xml:space="preserve">מטעמים אלה ובהתחשב בכך שהשאיפה לייעל, לפשט ולקצר את ההליכים האזרחיים היא </w:t>
      </w:r>
      <w:r w:rsidR="00316FA9">
        <w:rPr>
          <w:rFonts w:hint="cs"/>
          <w:rtl/>
        </w:rPr>
        <w:t>מ</w:t>
      </w:r>
      <w:r>
        <w:rPr>
          <w:rFonts w:hint="cs"/>
          <w:rtl/>
        </w:rPr>
        <w:t xml:space="preserve">המטרות המרכזיות </w:t>
      </w:r>
      <w:r w:rsidR="00316FA9">
        <w:rPr>
          <w:rFonts w:hint="cs"/>
          <w:rtl/>
        </w:rPr>
        <w:t>של</w:t>
      </w:r>
      <w:r>
        <w:rPr>
          <w:rFonts w:hint="cs"/>
          <w:rtl/>
        </w:rPr>
        <w:t xml:space="preserve"> הרפורמה בתקנות סדר הדין (ראו תקנות 2 ו-5 לתקנות סדר הדין), סבורני כי אין מקום ככלל לדון בבקשה להגדלת </w:t>
      </w:r>
      <w:r w:rsidR="00B26AB5">
        <w:rPr>
          <w:rFonts w:hint="cs"/>
          <w:rtl/>
        </w:rPr>
        <w:t>היקף</w:t>
      </w:r>
      <w:r>
        <w:rPr>
          <w:rFonts w:hint="cs"/>
          <w:rtl/>
        </w:rPr>
        <w:t xml:space="preserve"> </w:t>
      </w:r>
      <w:r w:rsidR="00390763">
        <w:rPr>
          <w:rFonts w:hint="cs"/>
          <w:rtl/>
        </w:rPr>
        <w:t>גוף ה</w:t>
      </w:r>
      <w:r>
        <w:rPr>
          <w:rFonts w:hint="cs"/>
          <w:rtl/>
        </w:rPr>
        <w:t xml:space="preserve">ערעור </w:t>
      </w:r>
      <w:r w:rsidR="00640B30">
        <w:rPr>
          <w:rFonts w:hint="cs"/>
          <w:rtl/>
        </w:rPr>
        <w:t xml:space="preserve">עובר להגשת </w:t>
      </w:r>
      <w:r>
        <w:rPr>
          <w:rFonts w:hint="cs"/>
          <w:rtl/>
        </w:rPr>
        <w:t>הערעור עצמו, למעט במקרים חריגים ויוצאי דופן</w:t>
      </w:r>
      <w:r w:rsidR="00640B30">
        <w:rPr>
          <w:rFonts w:hint="cs"/>
          <w:rtl/>
        </w:rPr>
        <w:t xml:space="preserve"> במיוחד</w:t>
      </w:r>
      <w:r>
        <w:rPr>
          <w:rFonts w:hint="cs"/>
          <w:rtl/>
        </w:rPr>
        <w:t xml:space="preserve">. </w:t>
      </w:r>
    </w:p>
    <w:p w:rsidR="00F20723" w:rsidRDefault="00F20723" w:rsidP="00F20723">
      <w:pPr>
        <w:pStyle w:val="Ruller41"/>
        <w:rPr>
          <w:rtl/>
        </w:rPr>
      </w:pPr>
    </w:p>
    <w:p w:rsidR="00F20723" w:rsidRDefault="00F20723" w:rsidP="00F20723">
      <w:pPr>
        <w:pStyle w:val="Ruller41"/>
        <w:rPr>
          <w:rtl/>
        </w:rPr>
      </w:pPr>
      <w:r>
        <w:rPr>
          <w:rtl/>
        </w:rPr>
        <w:tab/>
      </w:r>
      <w:r>
        <w:rPr>
          <w:rFonts w:hint="cs"/>
          <w:rtl/>
        </w:rPr>
        <w:t>בטרם סיום אבקש להעיר שלוש הערות:</w:t>
      </w:r>
    </w:p>
    <w:p w:rsidR="00F20723" w:rsidRDefault="00F20723" w:rsidP="00F20723">
      <w:pPr>
        <w:pStyle w:val="Ruller41"/>
        <w:rPr>
          <w:rtl/>
        </w:rPr>
      </w:pPr>
    </w:p>
    <w:p w:rsidR="00F20723" w:rsidRDefault="003A4744" w:rsidP="008F03D2">
      <w:pPr>
        <w:pStyle w:val="Ruller41"/>
        <w:rPr>
          <w:rtl/>
        </w:rPr>
      </w:pPr>
      <w:r>
        <w:rPr>
          <w:rFonts w:hint="cs"/>
          <w:rtl/>
        </w:rPr>
        <w:t>א.</w:t>
      </w:r>
      <w:r>
        <w:rPr>
          <w:rFonts w:hint="cs"/>
          <w:rtl/>
        </w:rPr>
        <w:tab/>
      </w:r>
      <w:r w:rsidR="00F20723" w:rsidRPr="00DD4E9F">
        <w:rPr>
          <w:rFonts w:hint="cs"/>
          <w:u w:val="single"/>
          <w:rtl/>
        </w:rPr>
        <w:t>ראשית</w:t>
      </w:r>
      <w:r w:rsidR="00F20723">
        <w:rPr>
          <w:rFonts w:hint="cs"/>
          <w:rtl/>
        </w:rPr>
        <w:t xml:space="preserve">, כפי שצוין לעיל, אין מקום להכריע בבקשה להגדלת היקף </w:t>
      </w:r>
      <w:r w:rsidR="00390763">
        <w:rPr>
          <w:rFonts w:hint="cs"/>
          <w:rtl/>
        </w:rPr>
        <w:t>גוף</w:t>
      </w:r>
      <w:r w:rsidR="008F03D2">
        <w:rPr>
          <w:rFonts w:hint="cs"/>
          <w:rtl/>
        </w:rPr>
        <w:t xml:space="preserve"> הערעור</w:t>
      </w:r>
      <w:r w:rsidR="00F20723">
        <w:rPr>
          <w:rFonts w:hint="cs"/>
          <w:rtl/>
        </w:rPr>
        <w:t xml:space="preserve"> בטרם </w:t>
      </w:r>
      <w:r w:rsidR="008F03D2">
        <w:rPr>
          <w:rFonts w:hint="cs"/>
          <w:rtl/>
        </w:rPr>
        <w:t>הגשת הערעור</w:t>
      </w:r>
      <w:r w:rsidR="00F20723">
        <w:rPr>
          <w:rFonts w:hint="cs"/>
          <w:rtl/>
        </w:rPr>
        <w:t xml:space="preserve"> </w:t>
      </w:r>
      <w:bookmarkStart w:id="5" w:name="_GoBack"/>
      <w:bookmarkEnd w:id="5"/>
      <w:r w:rsidR="00F20723">
        <w:rPr>
          <w:rFonts w:hint="cs"/>
          <w:rtl/>
        </w:rPr>
        <w:t xml:space="preserve">אלא במקרים חריגים ויוצאי דופן במיוחד. מהם אותם מקרים חריגים ויוצאי דופן במיוחד? מבלי למצות את הסוגיה, דומה כי יש לבחון בהקשר זה בעיקר </w:t>
      </w:r>
      <w:r w:rsidR="00F20723" w:rsidRPr="00B26AB5">
        <w:rPr>
          <w:rFonts w:ascii="Century" w:hAnsi="Century" w:cs="Miriam" w:hint="cs"/>
          <w:b/>
          <w:spacing w:val="0"/>
          <w:szCs w:val="24"/>
          <w:rtl/>
        </w:rPr>
        <w:t xml:space="preserve">נתונים </w:t>
      </w:r>
      <w:r w:rsidR="00F20723" w:rsidRPr="00B26AB5">
        <w:rPr>
          <w:rFonts w:ascii="Century" w:hAnsi="Century" w:cs="Miriam"/>
          <w:b/>
          <w:spacing w:val="0"/>
          <w:szCs w:val="24"/>
          <w:rtl/>
        </w:rPr>
        <w:t>אובייקטיביים</w:t>
      </w:r>
      <w:r w:rsidR="00F20723" w:rsidRPr="00B26AB5">
        <w:rPr>
          <w:rFonts w:hint="cs"/>
          <w:sz w:val="20"/>
          <w:szCs w:val="24"/>
          <w:rtl/>
        </w:rPr>
        <w:t xml:space="preserve"> </w:t>
      </w:r>
      <w:r w:rsidR="00F20723">
        <w:rPr>
          <w:rFonts w:hint="cs"/>
          <w:rtl/>
        </w:rPr>
        <w:t xml:space="preserve">הנוגעים לאופן ניהול ההליך בערכאה הדיונית. נראה כי הנתון האובייקטיבי המרכזי שיש לבחון עניינו באורך פסק-דינה של הערכאה הדיונית. כאשר מדובר בפסק-דין </w:t>
      </w:r>
      <w:r w:rsidR="00F20723" w:rsidRPr="002757A7">
        <w:rPr>
          <w:rFonts w:ascii="Century" w:hAnsi="Century" w:cs="Miriam" w:hint="cs"/>
          <w:b/>
          <w:spacing w:val="0"/>
          <w:szCs w:val="24"/>
          <w:rtl/>
        </w:rPr>
        <w:t>חריג בהיקפו</w:t>
      </w:r>
      <w:r w:rsidR="00F20723" w:rsidRPr="002757A7">
        <w:rPr>
          <w:rFonts w:hint="cs"/>
          <w:rtl/>
        </w:rPr>
        <w:t xml:space="preserve"> </w:t>
      </w:r>
      <w:r w:rsidR="00F20723">
        <w:rPr>
          <w:rFonts w:hint="cs"/>
          <w:rtl/>
        </w:rPr>
        <w:t xml:space="preserve">המשתרע על פני </w:t>
      </w:r>
      <w:r w:rsidR="00F20723" w:rsidRPr="00B26AB5">
        <w:rPr>
          <w:rFonts w:ascii="Century" w:hAnsi="Century" w:cs="Miriam" w:hint="cs"/>
          <w:b/>
          <w:spacing w:val="0"/>
          <w:szCs w:val="24"/>
          <w:rtl/>
        </w:rPr>
        <w:t>עשרות רבות של עמודים</w:t>
      </w:r>
      <w:r w:rsidR="00F20723">
        <w:rPr>
          <w:rFonts w:hint="cs"/>
          <w:rtl/>
        </w:rPr>
        <w:t xml:space="preserve">, דומה כי ניתן יהיה לומר שמדובר במקרה חריג במיוחד המצדיק את </w:t>
      </w:r>
      <w:proofErr w:type="spellStart"/>
      <w:r w:rsidR="00F20723">
        <w:rPr>
          <w:rFonts w:hint="cs"/>
          <w:rtl/>
        </w:rPr>
        <w:t>הידרשותה</w:t>
      </w:r>
      <w:proofErr w:type="spellEnd"/>
      <w:r w:rsidR="00F20723">
        <w:rPr>
          <w:rFonts w:hint="cs"/>
          <w:rtl/>
        </w:rPr>
        <w:t xml:space="preserve"> של ערכאת הערעור לסוגיית היקף </w:t>
      </w:r>
      <w:r w:rsidR="00390763">
        <w:rPr>
          <w:rFonts w:hint="cs"/>
          <w:rtl/>
        </w:rPr>
        <w:t>גוף</w:t>
      </w:r>
      <w:r w:rsidR="00F20723">
        <w:rPr>
          <w:rFonts w:hint="cs"/>
          <w:rtl/>
        </w:rPr>
        <w:t xml:space="preserve"> הערעור </w:t>
      </w:r>
      <w:r w:rsidR="00640B30">
        <w:rPr>
          <w:rFonts w:hint="cs"/>
          <w:rtl/>
        </w:rPr>
        <w:t>עוד בטרם</w:t>
      </w:r>
      <w:r w:rsidR="00F20723">
        <w:rPr>
          <w:rFonts w:hint="cs"/>
          <w:rtl/>
        </w:rPr>
        <w:t xml:space="preserve"> הגשתו</w:t>
      </w:r>
      <w:r w:rsidR="00EE522B">
        <w:rPr>
          <w:rFonts w:hint="cs"/>
          <w:rtl/>
        </w:rPr>
        <w:t xml:space="preserve"> (זאת, כמובן, בכפוף לכך שבדעת יוזם ההליך </w:t>
      </w:r>
      <w:proofErr w:type="spellStart"/>
      <w:r w:rsidR="00EE522B">
        <w:rPr>
          <w:rFonts w:hint="cs"/>
          <w:rtl/>
        </w:rPr>
        <w:t>הערעורי</w:t>
      </w:r>
      <w:proofErr w:type="spellEnd"/>
      <w:r w:rsidR="00EE522B">
        <w:rPr>
          <w:rFonts w:hint="cs"/>
          <w:rtl/>
        </w:rPr>
        <w:t xml:space="preserve"> להשיג על חלקים נרחבים של פסק-הדין ולא על רכיב בודד ונקודתי)</w:t>
      </w:r>
      <w:r w:rsidR="00F20723">
        <w:rPr>
          <w:rFonts w:hint="cs"/>
          <w:rtl/>
        </w:rPr>
        <w:t xml:space="preserve">. נתון אובייקטיבי אפשרי נוסף </w:t>
      </w:r>
      <w:r w:rsidR="00640B30">
        <w:rPr>
          <w:rFonts w:hint="cs"/>
          <w:rtl/>
        </w:rPr>
        <w:t>עניינו בשאלה</w:t>
      </w:r>
      <w:r w:rsidR="00F20723">
        <w:rPr>
          <w:rFonts w:hint="cs"/>
          <w:rtl/>
        </w:rPr>
        <w:t xml:space="preserve"> אם ניתנה החלטה של הערכאה הדיונית, במסגרת ההליך שהתברר בפניה, להגדיל את היקף כתבי הטענות שהוגשו לה. חשוב להדגיש כי קיומם של נתונים אובייקטיביים אלה, במקרים חריגים במיוחד, עשוי כאמור להצדיק דיון מקדמי בשאלת היקף </w:t>
      </w:r>
      <w:r w:rsidR="00390763">
        <w:rPr>
          <w:rFonts w:hint="cs"/>
          <w:rtl/>
        </w:rPr>
        <w:t>גוף</w:t>
      </w:r>
      <w:r w:rsidR="00F20723">
        <w:rPr>
          <w:rFonts w:hint="cs"/>
          <w:rtl/>
        </w:rPr>
        <w:t xml:space="preserve"> הערעור עובר להגשתו; אך אין ללמוד מן </w:t>
      </w:r>
      <w:r w:rsidR="00F20723">
        <w:rPr>
          <w:rFonts w:hint="cs"/>
          <w:rtl/>
        </w:rPr>
        <w:lastRenderedPageBreak/>
        <w:t xml:space="preserve">האמור כי קיומם של נתונים אלה </w:t>
      </w:r>
      <w:r w:rsidR="00640B30">
        <w:rPr>
          <w:rFonts w:hint="cs"/>
          <w:rtl/>
        </w:rPr>
        <w:t>מ</w:t>
      </w:r>
      <w:r w:rsidR="00F20723">
        <w:rPr>
          <w:rFonts w:hint="cs"/>
          <w:rtl/>
        </w:rPr>
        <w:t>צדיק בהכרח את הגדלת ההיקף המבוקשת</w:t>
      </w:r>
      <w:r w:rsidR="00B26AB5">
        <w:rPr>
          <w:rFonts w:hint="cs"/>
          <w:rtl/>
        </w:rPr>
        <w:t>, שהרי ההכרעה בבקשה להגדלת היקף לגופה אינה מתבססת אך ורק על אורכו של פסק-הדין מושא הערעור אלא על מגוון רחב של שיקולים נוספים</w:t>
      </w:r>
      <w:r w:rsidR="00F20723">
        <w:rPr>
          <w:rFonts w:hint="cs"/>
          <w:rtl/>
        </w:rPr>
        <w:t>.</w:t>
      </w:r>
    </w:p>
    <w:p w:rsidR="00F20723" w:rsidRDefault="00F20723" w:rsidP="00F20723">
      <w:pPr>
        <w:pStyle w:val="Ruller41"/>
        <w:rPr>
          <w:rtl/>
        </w:rPr>
      </w:pPr>
    </w:p>
    <w:p w:rsidR="009D1391" w:rsidRDefault="003A4744" w:rsidP="000476C8">
      <w:pPr>
        <w:pStyle w:val="Ruller41"/>
        <w:rPr>
          <w:rtl/>
        </w:rPr>
      </w:pPr>
      <w:r>
        <w:rPr>
          <w:rFonts w:hint="cs"/>
          <w:rtl/>
        </w:rPr>
        <w:t>ב.</w:t>
      </w:r>
      <w:r>
        <w:rPr>
          <w:rFonts w:hint="cs"/>
          <w:rtl/>
        </w:rPr>
        <w:tab/>
      </w:r>
      <w:r w:rsidR="009D1391" w:rsidRPr="00DD4E9F">
        <w:rPr>
          <w:rFonts w:hint="cs"/>
          <w:u w:val="single"/>
          <w:rtl/>
        </w:rPr>
        <w:t>שנית</w:t>
      </w:r>
      <w:r w:rsidR="009D1391">
        <w:rPr>
          <w:rFonts w:hint="cs"/>
          <w:rtl/>
        </w:rPr>
        <w:t xml:space="preserve">, אין לראות בהחלטתי זו משום הכרעה בשאלת העיתוי המתאים להגשת בקשה להגדלת היקף </w:t>
      </w:r>
      <w:r w:rsidR="009D1391" w:rsidRPr="00596B12">
        <w:rPr>
          <w:rFonts w:ascii="Century" w:hAnsi="Century" w:cs="Miriam" w:hint="cs"/>
          <w:b/>
          <w:spacing w:val="0"/>
          <w:szCs w:val="24"/>
          <w:rtl/>
        </w:rPr>
        <w:t>כתב תביעה</w:t>
      </w:r>
      <w:r w:rsidR="009D1391">
        <w:rPr>
          <w:rFonts w:hint="cs"/>
          <w:rtl/>
        </w:rPr>
        <w:t xml:space="preserve">. אכן, ניתן להבחין בין ערעור לבין כתב תביעה בהיבטים שונים. כך למשל, לצורך הגשת </w:t>
      </w:r>
      <w:r w:rsidR="000476C8">
        <w:rPr>
          <w:rFonts w:hint="cs"/>
          <w:rtl/>
        </w:rPr>
        <w:t>ה</w:t>
      </w:r>
      <w:r w:rsidR="009D1391">
        <w:rPr>
          <w:rFonts w:hint="cs"/>
          <w:rtl/>
        </w:rPr>
        <w:t xml:space="preserve">ערעור </w:t>
      </w:r>
      <w:r w:rsidR="00344237">
        <w:rPr>
          <w:rFonts w:hint="cs"/>
          <w:rtl/>
        </w:rPr>
        <w:t>ניצב ל</w:t>
      </w:r>
      <w:r w:rsidR="009D1391">
        <w:rPr>
          <w:rFonts w:hint="cs"/>
          <w:rtl/>
        </w:rPr>
        <w:t xml:space="preserve">פני יוזם ההליך סד זמנים סטטוטורי, והליך ערעורי שהוגש באיחור עשוי להימחק מטעם זה בלבד (ראו, תקנה 147(ב)(1) לתקנות). לעומת זאת, המחסום הדיוני להגשת כתב תביעה, מבחינת </w:t>
      </w:r>
      <w:proofErr w:type="spellStart"/>
      <w:r w:rsidR="009D1391">
        <w:rPr>
          <w:rFonts w:hint="cs"/>
          <w:rtl/>
        </w:rPr>
        <w:t>מימד</w:t>
      </w:r>
      <w:proofErr w:type="spellEnd"/>
      <w:r w:rsidR="009D1391">
        <w:rPr>
          <w:rFonts w:hint="cs"/>
          <w:rtl/>
        </w:rPr>
        <w:t xml:space="preserve"> הזמן, הינם דיני ההתיישנות המתייחסים לתקופות זמן ממושכות יותר. כמו כן, בטרם הגשת כתב תביעה קיימת עמימות משמעותית ביותר באשר להיקף הסכסוך ומורכבותו שהרי טרם ניתן, ככלל, פסק-דין על ידי ערכאה שיפוטית בסכסוך בין הצדדים. </w:t>
      </w:r>
      <w:r w:rsidR="000476C8">
        <w:rPr>
          <w:rFonts w:hint="cs"/>
          <w:rtl/>
        </w:rPr>
        <w:t xml:space="preserve">אעיר, כי </w:t>
      </w:r>
      <w:r w:rsidR="00157392">
        <w:rPr>
          <w:rFonts w:hint="cs"/>
          <w:rtl/>
        </w:rPr>
        <w:t xml:space="preserve">על פני הדברים </w:t>
      </w:r>
      <w:r w:rsidR="009D1391">
        <w:rPr>
          <w:rFonts w:hint="cs"/>
          <w:rtl/>
        </w:rPr>
        <w:t xml:space="preserve">ספק אם השוני בין הגשת ערעור להגשת כתב תביעה מצדיק הכרעה אחרת בשאלת העיתוי. מכל מקום, הסוגיה הנוגעת לעיתוי הגשת בקשה להגדלת היקף כתב תביעה אינה מתעוררת במקרה דנן. סוגיה זו היא עניין לערכאות הדיוניות, ולכן אותיר את הדברים </w:t>
      </w:r>
      <w:proofErr w:type="spellStart"/>
      <w:r w:rsidR="009D1391">
        <w:rPr>
          <w:rFonts w:hint="cs"/>
          <w:rtl/>
        </w:rPr>
        <w:t>בצריך</w:t>
      </w:r>
      <w:proofErr w:type="spellEnd"/>
      <w:r w:rsidR="009D1391">
        <w:rPr>
          <w:rFonts w:hint="cs"/>
          <w:rtl/>
        </w:rPr>
        <w:t xml:space="preserve"> עיון.</w:t>
      </w:r>
    </w:p>
    <w:p w:rsidR="00F20723" w:rsidRDefault="00F20723" w:rsidP="00F20723">
      <w:pPr>
        <w:pStyle w:val="Ruller41"/>
        <w:rPr>
          <w:rtl/>
        </w:rPr>
      </w:pPr>
    </w:p>
    <w:p w:rsidR="00F20723" w:rsidRDefault="003A4744" w:rsidP="000476C8">
      <w:pPr>
        <w:pStyle w:val="Ruller41"/>
        <w:rPr>
          <w:rtl/>
        </w:rPr>
      </w:pPr>
      <w:r>
        <w:rPr>
          <w:rFonts w:hint="cs"/>
          <w:rtl/>
        </w:rPr>
        <w:t>ג.</w:t>
      </w:r>
      <w:r>
        <w:rPr>
          <w:rFonts w:hint="cs"/>
          <w:rtl/>
        </w:rPr>
        <w:tab/>
      </w:r>
      <w:r w:rsidR="00F20723" w:rsidRPr="00DD4E9F">
        <w:rPr>
          <w:rFonts w:hint="cs"/>
          <w:u w:val="single"/>
          <w:rtl/>
        </w:rPr>
        <w:t>שלישית</w:t>
      </w:r>
      <w:r w:rsidR="00F20723">
        <w:rPr>
          <w:rFonts w:hint="cs"/>
          <w:rtl/>
        </w:rPr>
        <w:t xml:space="preserve">, ער אני לכך כי ערכאת הערעור נוהגת לדון בבקשות להארכת מועד להגשת הליך ערעורי ואלה מתבררות ככלל עובר להגשת ההליך </w:t>
      </w:r>
      <w:r w:rsidR="002757A7">
        <w:rPr>
          <w:rFonts w:hint="cs"/>
          <w:rtl/>
        </w:rPr>
        <w:t>מ</w:t>
      </w:r>
      <w:r w:rsidR="00F20723">
        <w:rPr>
          <w:rFonts w:hint="cs"/>
          <w:rtl/>
        </w:rPr>
        <w:t>ושא ה</w:t>
      </w:r>
      <w:r w:rsidR="00B26AB5">
        <w:rPr>
          <w:rFonts w:hint="cs"/>
          <w:rtl/>
        </w:rPr>
        <w:t>בקשה ו</w:t>
      </w:r>
      <w:r w:rsidR="00F20723">
        <w:rPr>
          <w:rFonts w:hint="cs"/>
          <w:rtl/>
        </w:rPr>
        <w:t>כך</w:t>
      </w:r>
      <w:r w:rsidR="00B26AB5">
        <w:rPr>
          <w:rFonts w:hint="cs"/>
          <w:rtl/>
        </w:rPr>
        <w:t xml:space="preserve"> גם</w:t>
      </w:r>
      <w:r w:rsidR="00F20723">
        <w:rPr>
          <w:rFonts w:hint="cs"/>
          <w:rtl/>
        </w:rPr>
        <w:t xml:space="preserve"> ראוי </w:t>
      </w:r>
      <w:r w:rsidR="00B26AB5">
        <w:rPr>
          <w:rFonts w:hint="cs"/>
          <w:rtl/>
        </w:rPr>
        <w:t>ש</w:t>
      </w:r>
      <w:r w:rsidR="00F20723">
        <w:rPr>
          <w:rFonts w:hint="cs"/>
          <w:rtl/>
        </w:rPr>
        <w:t>ייעשה. עשויה אפוא להישמע הטענה כי אין מניעה שערכאת הערעור תדון באותו אופן</w:t>
      </w:r>
      <w:r w:rsidR="00640B30">
        <w:rPr>
          <w:rFonts w:hint="cs"/>
          <w:rtl/>
        </w:rPr>
        <w:t>, ובשלב מקדמי,</w:t>
      </w:r>
      <w:r w:rsidR="00F20723">
        <w:rPr>
          <w:rFonts w:hint="cs"/>
          <w:rtl/>
        </w:rPr>
        <w:t xml:space="preserve"> גם בבקשות להגדלת היקף. </w:t>
      </w:r>
      <w:r w:rsidR="00640B30">
        <w:rPr>
          <w:rFonts w:hint="cs"/>
          <w:rtl/>
        </w:rPr>
        <w:t xml:space="preserve">ברם, לעניין זה יש לזכור כי </w:t>
      </w:r>
      <w:r w:rsidR="00F20723">
        <w:rPr>
          <w:rFonts w:hint="cs"/>
          <w:rtl/>
        </w:rPr>
        <w:t xml:space="preserve">בקשה להארכת מועד לנקיטת הליך נוגעת </w:t>
      </w:r>
      <w:r w:rsidR="00F20723" w:rsidRPr="00F30CD3">
        <w:rPr>
          <w:rFonts w:ascii="Century" w:hAnsi="Century" w:cs="Miriam" w:hint="cs"/>
          <w:b/>
          <w:spacing w:val="0"/>
          <w:szCs w:val="24"/>
          <w:rtl/>
        </w:rPr>
        <w:t xml:space="preserve">לעצם </w:t>
      </w:r>
      <w:r w:rsidR="00640B30">
        <w:rPr>
          <w:rFonts w:ascii="Century" w:hAnsi="Century" w:cs="Miriam" w:hint="cs"/>
          <w:b/>
          <w:spacing w:val="0"/>
          <w:szCs w:val="24"/>
          <w:rtl/>
        </w:rPr>
        <w:t>ה</w:t>
      </w:r>
      <w:r w:rsidR="00F20723" w:rsidRPr="00F30CD3">
        <w:rPr>
          <w:rFonts w:ascii="Century" w:hAnsi="Century" w:cs="Miriam" w:hint="cs"/>
          <w:b/>
          <w:spacing w:val="0"/>
          <w:szCs w:val="24"/>
          <w:rtl/>
        </w:rPr>
        <w:t>אפשרות</w:t>
      </w:r>
      <w:r w:rsidR="00F20723" w:rsidRPr="00F30CD3">
        <w:rPr>
          <w:rFonts w:hint="cs"/>
          <w:rtl/>
        </w:rPr>
        <w:t xml:space="preserve"> </w:t>
      </w:r>
      <w:r w:rsidR="00640B30">
        <w:rPr>
          <w:rFonts w:hint="cs"/>
          <w:rtl/>
        </w:rPr>
        <w:t xml:space="preserve">של </w:t>
      </w:r>
      <w:r w:rsidR="00F20723">
        <w:rPr>
          <w:rFonts w:hint="cs"/>
          <w:rtl/>
        </w:rPr>
        <w:t xml:space="preserve">הגשת כתב הערעור, ובכך היא משליכה במישרין גם על זכות הגישה לערכאות. לעומת זאת, בקשה להגדלת היקף אינה נוגעת לעצם האפשרות להגשת ההליך </w:t>
      </w:r>
      <w:proofErr w:type="spellStart"/>
      <w:r w:rsidR="00F20723">
        <w:rPr>
          <w:rFonts w:hint="cs"/>
          <w:rtl/>
        </w:rPr>
        <w:t>הערעורי</w:t>
      </w:r>
      <w:proofErr w:type="spellEnd"/>
      <w:r w:rsidR="00F20723">
        <w:rPr>
          <w:rFonts w:hint="cs"/>
          <w:rtl/>
        </w:rPr>
        <w:t xml:space="preserve"> אלא רק </w:t>
      </w:r>
      <w:r w:rsidR="00640B30">
        <w:rPr>
          <w:rFonts w:hint="cs"/>
          <w:rtl/>
        </w:rPr>
        <w:t>ל</w:t>
      </w:r>
      <w:r w:rsidR="00F20723">
        <w:rPr>
          <w:rFonts w:hint="cs"/>
          <w:rtl/>
        </w:rPr>
        <w:t>היקפו</w:t>
      </w:r>
      <w:r w:rsidR="00640B30">
        <w:rPr>
          <w:rFonts w:hint="cs"/>
          <w:rtl/>
        </w:rPr>
        <w:t xml:space="preserve"> של </w:t>
      </w:r>
      <w:r w:rsidR="000476C8">
        <w:rPr>
          <w:rFonts w:hint="cs"/>
          <w:rtl/>
        </w:rPr>
        <w:t>גוף</w:t>
      </w:r>
      <w:r w:rsidR="00640B30">
        <w:rPr>
          <w:rFonts w:hint="cs"/>
          <w:rtl/>
        </w:rPr>
        <w:t xml:space="preserve"> הערעור שיוגש</w:t>
      </w:r>
      <w:r w:rsidR="00F20723">
        <w:rPr>
          <w:rFonts w:hint="cs"/>
          <w:rtl/>
        </w:rPr>
        <w:t xml:space="preserve">. שוני זה בין שני סוגי המקרים מצדיק </w:t>
      </w:r>
      <w:r w:rsidR="00640B30">
        <w:rPr>
          <w:rFonts w:hint="cs"/>
          <w:rtl/>
        </w:rPr>
        <w:t xml:space="preserve">את </w:t>
      </w:r>
      <w:r w:rsidR="002757A7">
        <w:rPr>
          <w:rFonts w:hint="cs"/>
          <w:rtl/>
        </w:rPr>
        <w:t>ה</w:t>
      </w:r>
      <w:r w:rsidR="00F20723">
        <w:rPr>
          <w:rFonts w:hint="cs"/>
          <w:rtl/>
        </w:rPr>
        <w:t>אבחנה</w:t>
      </w:r>
      <w:r w:rsidR="00640B30">
        <w:rPr>
          <w:rFonts w:hint="cs"/>
          <w:rtl/>
        </w:rPr>
        <w:t xml:space="preserve"> שעליה עמדתי לעיל</w:t>
      </w:r>
      <w:r w:rsidR="00F20723">
        <w:rPr>
          <w:rFonts w:hint="cs"/>
          <w:rtl/>
        </w:rPr>
        <w:t xml:space="preserve"> באשר לעיתוי הנכון לבירור הבקשות השונות. </w:t>
      </w:r>
    </w:p>
    <w:p w:rsidR="00F20723" w:rsidRDefault="00F20723" w:rsidP="00F20723">
      <w:pPr>
        <w:pStyle w:val="Ruller41"/>
        <w:rPr>
          <w:rtl/>
        </w:rPr>
      </w:pPr>
    </w:p>
    <w:p w:rsidR="00F20723" w:rsidRPr="00E6680E" w:rsidRDefault="00F20723" w:rsidP="00F20723">
      <w:pPr>
        <w:pStyle w:val="Ruller41"/>
        <w:rPr>
          <w:rFonts w:ascii="Miriam" w:hAnsi="Miriam" w:cs="Miriam"/>
          <w:sz w:val="20"/>
          <w:szCs w:val="24"/>
          <w:rtl/>
        </w:rPr>
      </w:pPr>
      <w:r>
        <w:rPr>
          <w:rFonts w:ascii="Miriam" w:hAnsi="Miriam" w:cs="Miriam" w:hint="cs"/>
          <w:sz w:val="20"/>
          <w:szCs w:val="24"/>
          <w:rtl/>
        </w:rPr>
        <w:t>מן הכלל אל הפרט</w:t>
      </w:r>
    </w:p>
    <w:p w:rsidR="00F20723" w:rsidRDefault="00F20723" w:rsidP="00F20723">
      <w:pPr>
        <w:pStyle w:val="Ruller41"/>
        <w:rPr>
          <w:rtl/>
        </w:rPr>
      </w:pPr>
    </w:p>
    <w:p w:rsidR="00140F96" w:rsidRDefault="00F20723" w:rsidP="00140F96">
      <w:pPr>
        <w:pStyle w:val="Ruller41"/>
        <w:rPr>
          <w:rtl/>
        </w:rPr>
      </w:pPr>
      <w:r>
        <w:rPr>
          <w:rFonts w:hint="cs"/>
          <w:rtl/>
        </w:rPr>
        <w:t>9.</w:t>
      </w:r>
      <w:r>
        <w:rPr>
          <w:rtl/>
        </w:rPr>
        <w:tab/>
      </w:r>
      <w:r w:rsidR="00140F96">
        <w:rPr>
          <w:rFonts w:hint="cs"/>
          <w:rtl/>
        </w:rPr>
        <w:t xml:space="preserve">נפנה </w:t>
      </w:r>
      <w:r>
        <w:rPr>
          <w:rFonts w:hint="cs"/>
          <w:rtl/>
        </w:rPr>
        <w:t xml:space="preserve">עתה אל נתוני ההליך דנן. </w:t>
      </w:r>
      <w:r w:rsidR="00140F96">
        <w:rPr>
          <w:rFonts w:hint="cs"/>
          <w:rtl/>
        </w:rPr>
        <w:t xml:space="preserve">בין הצדדים מתנהל הליך ממושך בבית המשפט המחוזי בירושלים (רקע הדברים לסכסוך הובא בהרחבה </w:t>
      </w:r>
      <w:r w:rsidR="00140F96">
        <w:rPr>
          <w:rFonts w:hint="cs"/>
          <w:rtl/>
        </w:rPr>
        <w:t xml:space="preserve">בע"א 7109/19 </w:t>
      </w:r>
      <w:r w:rsidR="00140F96" w:rsidRPr="00140F96">
        <w:rPr>
          <w:rFonts w:ascii="Century" w:hAnsi="Century" w:cs="Miriam" w:hint="cs"/>
          <w:b/>
          <w:spacing w:val="0"/>
          <w:szCs w:val="24"/>
          <w:rtl/>
        </w:rPr>
        <w:t>לוי נ' לוי</w:t>
      </w:r>
      <w:r w:rsidR="00140F96">
        <w:rPr>
          <w:rFonts w:hint="cs"/>
          <w:rtl/>
        </w:rPr>
        <w:t xml:space="preserve"> (5.12.2019) </w:t>
      </w:r>
      <w:proofErr w:type="spellStart"/>
      <w:r w:rsidR="00140F96">
        <w:rPr>
          <w:rFonts w:hint="cs"/>
          <w:rtl/>
        </w:rPr>
        <w:t>וברע"א</w:t>
      </w:r>
      <w:proofErr w:type="spellEnd"/>
      <w:r w:rsidR="00140F96">
        <w:rPr>
          <w:rFonts w:hint="cs"/>
          <w:rtl/>
        </w:rPr>
        <w:t xml:space="preserve"> 6739/20 </w:t>
      </w:r>
      <w:r w:rsidR="00140F96" w:rsidRPr="00140F96">
        <w:rPr>
          <w:rFonts w:ascii="Century" w:hAnsi="Century" w:cs="Miriam" w:hint="cs"/>
          <w:b/>
          <w:spacing w:val="0"/>
          <w:szCs w:val="24"/>
          <w:rtl/>
        </w:rPr>
        <w:t>לוי נ' לוי</w:t>
      </w:r>
      <w:r w:rsidR="00140F96" w:rsidRPr="00140F96">
        <w:rPr>
          <w:rFonts w:hint="cs"/>
          <w:rtl/>
        </w:rPr>
        <w:t xml:space="preserve"> </w:t>
      </w:r>
      <w:r w:rsidR="00140F96">
        <w:rPr>
          <w:rFonts w:hint="cs"/>
          <w:rtl/>
        </w:rPr>
        <w:t xml:space="preserve">(23.12.2020)). </w:t>
      </w:r>
      <w:r>
        <w:rPr>
          <w:rFonts w:hint="cs"/>
          <w:rtl/>
        </w:rPr>
        <w:t>ב</w:t>
      </w:r>
      <w:r w:rsidR="00140F96">
        <w:rPr>
          <w:rFonts w:hint="cs"/>
          <w:rtl/>
        </w:rPr>
        <w:t xml:space="preserve">יום 7.1.2021 ניתנו בהליך זה </w:t>
      </w:r>
      <w:r>
        <w:rPr>
          <w:rFonts w:hint="cs"/>
          <w:rtl/>
        </w:rPr>
        <w:t xml:space="preserve">שתי החלטות דיוניות מנומקות שהמבקש אינו משלים עמן. </w:t>
      </w:r>
      <w:r w:rsidR="00140F96">
        <w:rPr>
          <w:rFonts w:hint="cs"/>
          <w:rtl/>
        </w:rPr>
        <w:t>ה</w:t>
      </w:r>
      <w:r w:rsidR="00F86F3D">
        <w:rPr>
          <w:rFonts w:hint="cs"/>
          <w:rtl/>
        </w:rPr>
        <w:t xml:space="preserve">החלטה </w:t>
      </w:r>
      <w:r w:rsidR="00140F96">
        <w:rPr>
          <w:rFonts w:hint="cs"/>
          <w:rtl/>
        </w:rPr>
        <w:t>ה</w:t>
      </w:r>
      <w:r w:rsidR="00F86F3D">
        <w:rPr>
          <w:rFonts w:hint="cs"/>
          <w:rtl/>
        </w:rPr>
        <w:t xml:space="preserve">אחת מחזיקה </w:t>
      </w:r>
      <w:r w:rsidR="00140F96">
        <w:rPr>
          <w:rFonts w:hint="cs"/>
          <w:rtl/>
        </w:rPr>
        <w:t>שלושה</w:t>
      </w:r>
      <w:r w:rsidR="00F86F3D">
        <w:rPr>
          <w:rFonts w:hint="cs"/>
          <w:rtl/>
        </w:rPr>
        <w:t xml:space="preserve"> עמודים וההחלטה השנייה מחזיקה</w:t>
      </w:r>
      <w:r w:rsidR="00140F96">
        <w:rPr>
          <w:rFonts w:hint="cs"/>
          <w:rtl/>
        </w:rPr>
        <w:t xml:space="preserve"> חמישה עמודים.</w:t>
      </w:r>
      <w:r w:rsidR="00F86F3D">
        <w:rPr>
          <w:rFonts w:hint="cs"/>
          <w:rtl/>
        </w:rPr>
        <w:t xml:space="preserve"> </w:t>
      </w:r>
      <w:r>
        <w:rPr>
          <w:rFonts w:hint="cs"/>
          <w:rtl/>
        </w:rPr>
        <w:t xml:space="preserve">המבקש מעוניין להגיש על </w:t>
      </w:r>
      <w:r>
        <w:rPr>
          <w:rFonts w:hint="cs"/>
          <w:rtl/>
        </w:rPr>
        <w:lastRenderedPageBreak/>
        <w:t xml:space="preserve">שתי ההחלטות בקשת רשות ערעור אחת ולפיכך מבקש הוא כי יותר לו להגיש את בקשת רשות הערעור בהיקף של 24 עמודים שהינו היקף כפול מזה שנקבע בתקנות. </w:t>
      </w:r>
    </w:p>
    <w:p w:rsidR="00140F96" w:rsidRDefault="00140F96" w:rsidP="00140F96">
      <w:pPr>
        <w:pStyle w:val="Ruller41"/>
        <w:rPr>
          <w:rtl/>
        </w:rPr>
      </w:pPr>
    </w:p>
    <w:p w:rsidR="00F20723" w:rsidRDefault="00140F96" w:rsidP="00140F96">
      <w:pPr>
        <w:pStyle w:val="Ruller41"/>
        <w:rPr>
          <w:rtl/>
        </w:rPr>
      </w:pPr>
      <w:r>
        <w:rPr>
          <w:rtl/>
        </w:rPr>
        <w:tab/>
      </w:r>
      <w:r w:rsidR="00F20723">
        <w:rPr>
          <w:rFonts w:hint="cs"/>
          <w:rtl/>
        </w:rPr>
        <w:t xml:space="preserve">המשיב 1 מתנגד </w:t>
      </w:r>
      <w:proofErr w:type="spellStart"/>
      <w:r>
        <w:rPr>
          <w:rFonts w:hint="cs"/>
          <w:rtl/>
        </w:rPr>
        <w:t>מצידו</w:t>
      </w:r>
      <w:proofErr w:type="spellEnd"/>
      <w:r>
        <w:rPr>
          <w:rFonts w:hint="cs"/>
          <w:rtl/>
        </w:rPr>
        <w:t xml:space="preserve"> </w:t>
      </w:r>
      <w:r w:rsidR="00F20723">
        <w:rPr>
          <w:rFonts w:hint="cs"/>
          <w:rtl/>
        </w:rPr>
        <w:t xml:space="preserve">לבקשה כמפורט בתשובה שצורפה </w:t>
      </w:r>
      <w:r w:rsidR="00F47913">
        <w:rPr>
          <w:rFonts w:hint="cs"/>
          <w:rtl/>
        </w:rPr>
        <w:t>לה</w:t>
      </w:r>
      <w:r w:rsidR="00F20723">
        <w:rPr>
          <w:rFonts w:hint="cs"/>
          <w:rtl/>
        </w:rPr>
        <w:t xml:space="preserve"> כנספח. </w:t>
      </w:r>
    </w:p>
    <w:p w:rsidR="00F20723" w:rsidRDefault="00F20723" w:rsidP="00F20723">
      <w:pPr>
        <w:pStyle w:val="Ruller41"/>
        <w:rPr>
          <w:rtl/>
        </w:rPr>
      </w:pPr>
    </w:p>
    <w:p w:rsidR="00640B30" w:rsidRDefault="00F20723" w:rsidP="000476C8">
      <w:pPr>
        <w:pStyle w:val="Ruller41"/>
        <w:rPr>
          <w:rtl/>
        </w:rPr>
      </w:pPr>
      <w:r>
        <w:rPr>
          <w:rtl/>
        </w:rPr>
        <w:tab/>
      </w:r>
      <w:r>
        <w:rPr>
          <w:rFonts w:hint="cs"/>
          <w:rtl/>
        </w:rPr>
        <w:t xml:space="preserve">מבלי להידרש למידת ההצדקה להגדלת ההיקף המבוקשת במקרה זה, ומבלי להידרש לשאלה מתי ובאילו תנאים ניתן להגיש הליך ערעורי אחד המופנה כנגד יותר מהחלטה שיפוטית אחת (ראו בעניין זה, רע"א 3154/17 </w:t>
      </w:r>
      <w:proofErr w:type="spellStart"/>
      <w:r w:rsidRPr="00702B30">
        <w:rPr>
          <w:rFonts w:ascii="Century" w:hAnsi="Century" w:cs="Miriam" w:hint="cs"/>
          <w:b/>
          <w:spacing w:val="0"/>
          <w:szCs w:val="24"/>
          <w:rtl/>
        </w:rPr>
        <w:t>אפרהימי</w:t>
      </w:r>
      <w:proofErr w:type="spellEnd"/>
      <w:r w:rsidRPr="00702B30">
        <w:rPr>
          <w:rFonts w:ascii="Century" w:hAnsi="Century" w:cs="Miriam" w:hint="cs"/>
          <w:b/>
          <w:spacing w:val="0"/>
          <w:szCs w:val="24"/>
          <w:rtl/>
        </w:rPr>
        <w:t xml:space="preserve"> נ' פקיד שומה גוש דן</w:t>
      </w:r>
      <w:r>
        <w:rPr>
          <w:rFonts w:hint="cs"/>
          <w:rtl/>
        </w:rPr>
        <w:t xml:space="preserve">, פיסקה 8 (20.6.2017)), אינני סבור כי מדובר במקרה חריג ויוצא דופן המצדיק פנייה לבית המשפט בבקשה להגדלת היקף </w:t>
      </w:r>
      <w:r w:rsidR="000476C8">
        <w:rPr>
          <w:rFonts w:hint="cs"/>
          <w:rtl/>
        </w:rPr>
        <w:t>גוף</w:t>
      </w:r>
      <w:r>
        <w:rPr>
          <w:rFonts w:hint="cs"/>
          <w:rtl/>
        </w:rPr>
        <w:t xml:space="preserve"> </w:t>
      </w:r>
      <w:r w:rsidR="000476C8">
        <w:rPr>
          <w:rFonts w:hint="cs"/>
          <w:rtl/>
        </w:rPr>
        <w:t xml:space="preserve">בקשת רשות </w:t>
      </w:r>
      <w:r>
        <w:rPr>
          <w:rFonts w:hint="cs"/>
          <w:rtl/>
        </w:rPr>
        <w:t xml:space="preserve">הערעור </w:t>
      </w:r>
      <w:r w:rsidR="00640B30">
        <w:rPr>
          <w:rFonts w:hint="cs"/>
          <w:rtl/>
        </w:rPr>
        <w:t xml:space="preserve">עובר </w:t>
      </w:r>
      <w:r w:rsidR="000476C8">
        <w:rPr>
          <w:rFonts w:hint="cs"/>
          <w:rtl/>
        </w:rPr>
        <w:t>להגשתה בפועל.</w:t>
      </w:r>
      <w:r>
        <w:rPr>
          <w:rFonts w:hint="cs"/>
          <w:rtl/>
        </w:rPr>
        <w:t xml:space="preserve"> </w:t>
      </w:r>
    </w:p>
    <w:p w:rsidR="00640B30" w:rsidRDefault="00640B30" w:rsidP="00640B30">
      <w:pPr>
        <w:pStyle w:val="Ruller41"/>
        <w:rPr>
          <w:rtl/>
        </w:rPr>
      </w:pPr>
    </w:p>
    <w:p w:rsidR="00640B30" w:rsidRDefault="00640B30" w:rsidP="00640B30">
      <w:pPr>
        <w:pStyle w:val="Ruller41"/>
        <w:rPr>
          <w:rtl/>
        </w:rPr>
      </w:pPr>
      <w:r>
        <w:rPr>
          <w:rtl/>
        </w:rPr>
        <w:tab/>
      </w:r>
      <w:r>
        <w:rPr>
          <w:rFonts w:hint="cs"/>
          <w:rtl/>
        </w:rPr>
        <w:t>בנסיבות אלה דינה של הבקשה להימחק וכך אני מורה.</w:t>
      </w:r>
    </w:p>
    <w:p w:rsidR="00640B30" w:rsidRDefault="00640B30" w:rsidP="00640B30">
      <w:pPr>
        <w:pStyle w:val="Ruller41"/>
        <w:rPr>
          <w:rtl/>
        </w:rPr>
      </w:pPr>
    </w:p>
    <w:p w:rsidR="00F20723" w:rsidRDefault="00640B30" w:rsidP="009A776C">
      <w:pPr>
        <w:pStyle w:val="Ruller41"/>
        <w:rPr>
          <w:rtl/>
        </w:rPr>
      </w:pPr>
      <w:r>
        <w:rPr>
          <w:rtl/>
        </w:rPr>
        <w:tab/>
      </w:r>
      <w:r>
        <w:rPr>
          <w:rFonts w:hint="cs"/>
          <w:rtl/>
        </w:rPr>
        <w:t xml:space="preserve">מובהר, עם זאת, </w:t>
      </w:r>
      <w:r w:rsidR="00F20723">
        <w:rPr>
          <w:rFonts w:hint="cs"/>
          <w:rtl/>
        </w:rPr>
        <w:t xml:space="preserve">כי </w:t>
      </w:r>
      <w:r w:rsidR="002757A7">
        <w:rPr>
          <w:rFonts w:hint="cs"/>
          <w:rtl/>
        </w:rPr>
        <w:t xml:space="preserve">אין </w:t>
      </w:r>
      <w:r>
        <w:rPr>
          <w:rFonts w:hint="cs"/>
          <w:rtl/>
        </w:rPr>
        <w:t>במסקנה זו</w:t>
      </w:r>
      <w:r w:rsidR="00F20723">
        <w:rPr>
          <w:rFonts w:hint="cs"/>
          <w:rtl/>
        </w:rPr>
        <w:t xml:space="preserve"> כדי למנוע מהמבקש להגיש בקשה להרחבת ההיקף בד בבד עם הגשת ההליך, </w:t>
      </w:r>
      <w:r w:rsidR="009A776C">
        <w:rPr>
          <w:rFonts w:hint="cs"/>
          <w:rtl/>
        </w:rPr>
        <w:t>ככל שיוגש</w:t>
      </w:r>
      <w:r w:rsidR="00F20723">
        <w:rPr>
          <w:rFonts w:hint="cs"/>
          <w:rtl/>
        </w:rPr>
        <w:t xml:space="preserve">, וטענות הצדדים שמורות להם. </w:t>
      </w:r>
    </w:p>
    <w:p w:rsidR="00F20723" w:rsidRDefault="00F20723" w:rsidP="00F20723">
      <w:pPr>
        <w:pStyle w:val="Ruller41"/>
        <w:rPr>
          <w:rtl/>
        </w:rPr>
      </w:pPr>
    </w:p>
    <w:p w:rsidR="00EE522B" w:rsidRDefault="00EE522B" w:rsidP="00EE522B">
      <w:pPr>
        <w:pStyle w:val="Ruller41"/>
        <w:rPr>
          <w:rtl/>
        </w:rPr>
      </w:pPr>
      <w:r>
        <w:rPr>
          <w:rtl/>
        </w:rPr>
        <w:tab/>
      </w:r>
      <w:r>
        <w:rPr>
          <w:rFonts w:hint="cs"/>
          <w:rtl/>
        </w:rPr>
        <w:t xml:space="preserve">משלא נתבקשה תשובה ובהתחשב בכך שמדובר בסוגיה חדשה שהתעוררה על רקע כניסתן של התקנות החדשות לתוקף, לא ייעשה צו להוצאות. </w:t>
      </w:r>
    </w:p>
    <w:p w:rsidR="009A776C" w:rsidRDefault="009A776C" w:rsidP="00F20723">
      <w:pPr>
        <w:pStyle w:val="Ruller41"/>
        <w:rPr>
          <w:rtl/>
        </w:rPr>
      </w:pPr>
    </w:p>
    <w:p w:rsidR="000B1478" w:rsidRDefault="00F20723" w:rsidP="00A51FAE">
      <w:pPr>
        <w:pStyle w:val="Ruller41"/>
        <w:rPr>
          <w:rtl/>
        </w:rPr>
      </w:pPr>
      <w:r>
        <w:rPr>
          <w:rtl/>
        </w:rPr>
        <w:tab/>
        <w:t xml:space="preserve">ניתנה היום, </w:t>
      </w:r>
      <w:r>
        <w:rPr>
          <w:rFonts w:hint="eastAsia"/>
          <w:rtl/>
        </w:rPr>
        <w:t>‏י</w:t>
      </w:r>
      <w:r>
        <w:rPr>
          <w:rtl/>
        </w:rPr>
        <w:t xml:space="preserve">"ג בשבט </w:t>
      </w:r>
      <w:proofErr w:type="spellStart"/>
      <w:r>
        <w:rPr>
          <w:rtl/>
        </w:rPr>
        <w:t>התשפ"א</w:t>
      </w:r>
      <w:proofErr w:type="spellEnd"/>
      <w:r>
        <w:rPr>
          <w:rtl/>
        </w:rPr>
        <w:t xml:space="preserve"> (</w:t>
      </w:r>
      <w:r>
        <w:rPr>
          <w:rFonts w:hint="eastAsia"/>
          <w:rtl/>
        </w:rPr>
        <w:t>‏</w:t>
      </w:r>
      <w:r>
        <w:rPr>
          <w:rtl/>
        </w:rPr>
        <w:t>26.1.2021).</w:t>
      </w:r>
    </w:p>
    <w:p w:rsidR="00F20723" w:rsidRDefault="00F20723" w:rsidP="00A51FAE">
      <w:pPr>
        <w:pStyle w:val="Ruller41"/>
        <w:rPr>
          <w:rtl/>
        </w:rPr>
      </w:pPr>
    </w:p>
    <w:p w:rsidR="00016EF1" w:rsidRDefault="00016EF1" w:rsidP="00A51FAE">
      <w:pPr>
        <w:pStyle w:val="Ruller41"/>
        <w:rPr>
          <w:rtl/>
        </w:rPr>
      </w:pPr>
    </w:p>
    <w:tbl>
      <w:tblPr>
        <w:bidiVisual/>
        <w:tblW w:w="8363" w:type="dxa"/>
        <w:tblLook w:val="01E0" w:firstRow="1" w:lastRow="1" w:firstColumn="1" w:lastColumn="1" w:noHBand="0" w:noVBand="0"/>
      </w:tblPr>
      <w:tblGrid>
        <w:gridCol w:w="2779"/>
        <w:gridCol w:w="2779"/>
        <w:gridCol w:w="2805"/>
      </w:tblGrid>
      <w:tr w:rsidR="001A0164" w:rsidTr="00D00B1D">
        <w:tc>
          <w:tcPr>
            <w:tcW w:w="2842" w:type="dxa"/>
            <w:shd w:val="clear" w:color="auto" w:fill="auto"/>
          </w:tcPr>
          <w:p w:rsidR="00016EF1" w:rsidRDefault="00016EF1" w:rsidP="00A51FAE">
            <w:pPr>
              <w:pStyle w:val="Ruller41"/>
              <w:rPr>
                <w:rtl/>
              </w:rPr>
            </w:pPr>
          </w:p>
        </w:tc>
        <w:tc>
          <w:tcPr>
            <w:tcW w:w="2843" w:type="dxa"/>
            <w:shd w:val="clear" w:color="auto" w:fill="auto"/>
          </w:tcPr>
          <w:p w:rsidR="001A0164" w:rsidRDefault="001A0164" w:rsidP="00BA0B08">
            <w:pPr>
              <w:pStyle w:val="Ruller41"/>
              <w:jc w:val="center"/>
              <w:rPr>
                <w:rtl/>
              </w:rPr>
            </w:pPr>
          </w:p>
        </w:tc>
        <w:tc>
          <w:tcPr>
            <w:tcW w:w="2843" w:type="dxa"/>
            <w:shd w:val="clear" w:color="auto" w:fill="auto"/>
          </w:tcPr>
          <w:p w:rsidR="001A0164" w:rsidRDefault="001205B4" w:rsidP="00BA0B08">
            <w:pPr>
              <w:pStyle w:val="Ruller41"/>
              <w:jc w:val="center"/>
              <w:rPr>
                <w:rtl/>
              </w:rPr>
            </w:pPr>
            <w:r>
              <w:rPr>
                <w:rtl/>
              </w:rPr>
              <w:t>רון גולדשטיין, שופט</w:t>
            </w:r>
          </w:p>
        </w:tc>
      </w:tr>
      <w:tr w:rsidR="001205B4" w:rsidTr="00D00B1D">
        <w:tc>
          <w:tcPr>
            <w:tcW w:w="2842" w:type="dxa"/>
            <w:shd w:val="clear" w:color="auto" w:fill="auto"/>
          </w:tcPr>
          <w:p w:rsidR="001205B4" w:rsidRDefault="001205B4" w:rsidP="00A51FAE">
            <w:pPr>
              <w:pStyle w:val="Ruller41"/>
              <w:rPr>
                <w:rtl/>
              </w:rPr>
            </w:pPr>
          </w:p>
        </w:tc>
        <w:tc>
          <w:tcPr>
            <w:tcW w:w="2843" w:type="dxa"/>
            <w:shd w:val="clear" w:color="auto" w:fill="auto"/>
          </w:tcPr>
          <w:p w:rsidR="001205B4" w:rsidRDefault="001205B4" w:rsidP="00BA0B08">
            <w:pPr>
              <w:pStyle w:val="Ruller41"/>
              <w:jc w:val="center"/>
              <w:rPr>
                <w:rtl/>
              </w:rPr>
            </w:pPr>
          </w:p>
        </w:tc>
        <w:tc>
          <w:tcPr>
            <w:tcW w:w="2843" w:type="dxa"/>
            <w:shd w:val="clear" w:color="auto" w:fill="auto"/>
          </w:tcPr>
          <w:p w:rsidR="001205B4" w:rsidRDefault="001205B4" w:rsidP="00BA0B08">
            <w:pPr>
              <w:pStyle w:val="Ruller41"/>
              <w:jc w:val="center"/>
              <w:rPr>
                <w:rtl/>
              </w:rPr>
            </w:pPr>
            <w:r>
              <w:rPr>
                <w:rtl/>
              </w:rPr>
              <w:t>ר ש ם</w:t>
            </w:r>
          </w:p>
        </w:tc>
      </w:tr>
    </w:tbl>
    <w:p w:rsidR="00044953" w:rsidRDefault="00044953" w:rsidP="00A51FAE">
      <w:pPr>
        <w:pStyle w:val="Ruller41"/>
        <w:rPr>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F20723">
      <w:pPr>
        <w:pStyle w:val="Ruller38"/>
        <w:rPr>
          <w:rtl/>
        </w:rPr>
      </w:pPr>
      <w:r>
        <w:rPr>
          <w:sz w:val="16"/>
        </w:rPr>
        <w:t xml:space="preserve"> </w:t>
      </w:r>
      <w:r w:rsidR="00A12E0F">
        <w:rPr>
          <w:sz w:val="16"/>
        </w:rPr>
        <w:t xml:space="preserve">  </w:t>
      </w:r>
      <w:r w:rsidR="001205B4">
        <w:rPr>
          <w:sz w:val="16"/>
        </w:rPr>
        <w:t xml:space="preserve">21004330_S01.docx   </w:t>
      </w:r>
    </w:p>
    <w:p w:rsidR="00591983" w:rsidRPr="0058440A" w:rsidRDefault="00591983" w:rsidP="0058440A">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58440A" w:rsidRPr="00CB1590">
          <w:rPr>
            <w:rStyle w:val="Hyperlink"/>
            <w:sz w:val="16"/>
          </w:rPr>
          <w:t>http://supreme.court.gov.i</w:t>
        </w:r>
      </w:hyperlink>
      <w:r w:rsidR="0058440A" w:rsidRPr="00CB1590">
        <w:rPr>
          <w:sz w:val="16"/>
        </w:rPr>
        <w:t>l</w:t>
      </w:r>
    </w:p>
    <w:p w:rsidR="003F1F97" w:rsidRDefault="003F1F97" w:rsidP="00591983">
      <w:pPr>
        <w:pStyle w:val="Ruller38"/>
        <w:rPr>
          <w:rtl/>
        </w:rPr>
      </w:pPr>
    </w:p>
    <w:sectPr w:rsidR="003F1F97" w:rsidSect="00591983">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512" w:rsidRDefault="007F7512">
      <w:r>
        <w:separator/>
      </w:r>
    </w:p>
  </w:endnote>
  <w:endnote w:type="continuationSeparator" w:id="0">
    <w:p w:rsidR="007F7512" w:rsidRDefault="007F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43"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5B4" w:rsidRDefault="001205B4">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512" w:rsidRDefault="007F7512">
      <w:r>
        <w:separator/>
      </w:r>
    </w:p>
  </w:footnote>
  <w:footnote w:type="continuationSeparator" w:id="0">
    <w:p w:rsidR="007F7512" w:rsidRDefault="007F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8F03D2">
      <w:rPr>
        <w:rStyle w:val="a4"/>
        <w:noProof/>
        <w:rtl/>
      </w:rPr>
      <w:t>7</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4526"/>
    <w:multiLevelType w:val="hybridMultilevel"/>
    <w:tmpl w:val="7F0A0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174F7"/>
    <w:rsid w:val="00032036"/>
    <w:rsid w:val="00036227"/>
    <w:rsid w:val="00044953"/>
    <w:rsid w:val="00045B4D"/>
    <w:rsid w:val="000476C8"/>
    <w:rsid w:val="000725F5"/>
    <w:rsid w:val="00072AD2"/>
    <w:rsid w:val="000B1478"/>
    <w:rsid w:val="000C4690"/>
    <w:rsid w:val="000D25C4"/>
    <w:rsid w:val="000F452A"/>
    <w:rsid w:val="001205B4"/>
    <w:rsid w:val="00134A67"/>
    <w:rsid w:val="00140F96"/>
    <w:rsid w:val="00157392"/>
    <w:rsid w:val="001A0164"/>
    <w:rsid w:val="00200D6B"/>
    <w:rsid w:val="00265F6E"/>
    <w:rsid w:val="002757A7"/>
    <w:rsid w:val="002876BF"/>
    <w:rsid w:val="002A4A7A"/>
    <w:rsid w:val="002A4BF3"/>
    <w:rsid w:val="002F7BB6"/>
    <w:rsid w:val="00316FA9"/>
    <w:rsid w:val="00344237"/>
    <w:rsid w:val="003448B2"/>
    <w:rsid w:val="00347782"/>
    <w:rsid w:val="00361DB2"/>
    <w:rsid w:val="0037622E"/>
    <w:rsid w:val="00377102"/>
    <w:rsid w:val="00390763"/>
    <w:rsid w:val="0039709B"/>
    <w:rsid w:val="003A4744"/>
    <w:rsid w:val="003D72DA"/>
    <w:rsid w:val="003F1F97"/>
    <w:rsid w:val="0041048F"/>
    <w:rsid w:val="00437D59"/>
    <w:rsid w:val="004610A4"/>
    <w:rsid w:val="004B29FF"/>
    <w:rsid w:val="004C7868"/>
    <w:rsid w:val="00503A3E"/>
    <w:rsid w:val="00527F02"/>
    <w:rsid w:val="005803E2"/>
    <w:rsid w:val="0058440A"/>
    <w:rsid w:val="00591983"/>
    <w:rsid w:val="005F192F"/>
    <w:rsid w:val="00624A42"/>
    <w:rsid w:val="00640B30"/>
    <w:rsid w:val="0065522F"/>
    <w:rsid w:val="006A144D"/>
    <w:rsid w:val="006A30F7"/>
    <w:rsid w:val="006C42AD"/>
    <w:rsid w:val="00725345"/>
    <w:rsid w:val="00741CC0"/>
    <w:rsid w:val="007B512F"/>
    <w:rsid w:val="007F7512"/>
    <w:rsid w:val="00810894"/>
    <w:rsid w:val="008143AB"/>
    <w:rsid w:val="0083345F"/>
    <w:rsid w:val="00836667"/>
    <w:rsid w:val="00864888"/>
    <w:rsid w:val="00866D0F"/>
    <w:rsid w:val="008C2F11"/>
    <w:rsid w:val="008D78B9"/>
    <w:rsid w:val="008E3F85"/>
    <w:rsid w:val="008F03D2"/>
    <w:rsid w:val="009051E8"/>
    <w:rsid w:val="00914156"/>
    <w:rsid w:val="00916FF8"/>
    <w:rsid w:val="00922093"/>
    <w:rsid w:val="00930C85"/>
    <w:rsid w:val="009820AE"/>
    <w:rsid w:val="009A776C"/>
    <w:rsid w:val="009B38DA"/>
    <w:rsid w:val="009D1391"/>
    <w:rsid w:val="009F2F53"/>
    <w:rsid w:val="009F4187"/>
    <w:rsid w:val="00A12E0F"/>
    <w:rsid w:val="00A51FAE"/>
    <w:rsid w:val="00A56B3D"/>
    <w:rsid w:val="00A80845"/>
    <w:rsid w:val="00AB69F7"/>
    <w:rsid w:val="00AD097B"/>
    <w:rsid w:val="00AD64B9"/>
    <w:rsid w:val="00AE022B"/>
    <w:rsid w:val="00AE2350"/>
    <w:rsid w:val="00B009CC"/>
    <w:rsid w:val="00B0782A"/>
    <w:rsid w:val="00B26AB5"/>
    <w:rsid w:val="00B62B8C"/>
    <w:rsid w:val="00B63343"/>
    <w:rsid w:val="00B87FF7"/>
    <w:rsid w:val="00BA0B08"/>
    <w:rsid w:val="00BC0E82"/>
    <w:rsid w:val="00BD40F9"/>
    <w:rsid w:val="00C22055"/>
    <w:rsid w:val="00C41C86"/>
    <w:rsid w:val="00C63A6C"/>
    <w:rsid w:val="00CA13AF"/>
    <w:rsid w:val="00CA1444"/>
    <w:rsid w:val="00CB1590"/>
    <w:rsid w:val="00CB7600"/>
    <w:rsid w:val="00CC0E9D"/>
    <w:rsid w:val="00CC3639"/>
    <w:rsid w:val="00D00B1D"/>
    <w:rsid w:val="00D00CB7"/>
    <w:rsid w:val="00D25F16"/>
    <w:rsid w:val="00E21CA9"/>
    <w:rsid w:val="00E31063"/>
    <w:rsid w:val="00E36FE9"/>
    <w:rsid w:val="00E73E98"/>
    <w:rsid w:val="00E75223"/>
    <w:rsid w:val="00E90D72"/>
    <w:rsid w:val="00EA0BE1"/>
    <w:rsid w:val="00EC23AC"/>
    <w:rsid w:val="00EC2992"/>
    <w:rsid w:val="00ED46A4"/>
    <w:rsid w:val="00ED6FD9"/>
    <w:rsid w:val="00EE3810"/>
    <w:rsid w:val="00EE522B"/>
    <w:rsid w:val="00F20723"/>
    <w:rsid w:val="00F47913"/>
    <w:rsid w:val="00F63C3B"/>
    <w:rsid w:val="00F86F3D"/>
    <w:rsid w:val="00F959DB"/>
    <w:rsid w:val="00FB7DD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ED111"/>
  <w15:chartTrackingRefBased/>
  <w15:docId w15:val="{F302A766-2F65-4CEF-A29C-006C0B1C9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1"/>
    <w:next w:val="Ruller41"/>
    <w:rsid w:val="00F20723"/>
    <w:pPr>
      <w:numPr>
        <w:numId w:val="11"/>
      </w:numPr>
    </w:pPr>
    <w:rPr>
      <w:rFonts w:ascii="Garamond" w:hAnsi="Garamond"/>
      <w:sz w:val="24"/>
    </w:rPr>
  </w:style>
  <w:style w:type="paragraph" w:customStyle="1" w:styleId="Ruller40">
    <w:name w:val="Ruller4 אלפביתי"/>
    <w:basedOn w:val="Ruller41"/>
    <w:next w:val="Ruller41"/>
    <w:rsid w:val="00F20723"/>
    <w:pPr>
      <w:numPr>
        <w:numId w:val="12"/>
      </w:numPr>
    </w:pPr>
  </w:style>
  <w:style w:type="paragraph" w:customStyle="1" w:styleId="ruller42">
    <w:name w:val="ruller4"/>
    <w:basedOn w:val="a"/>
    <w:rsid w:val="00F20723"/>
    <w:pPr>
      <w:overflowPunct/>
      <w:autoSpaceDE/>
      <w:autoSpaceDN/>
      <w:bidi w:val="0"/>
      <w:adjustRightInd/>
      <w:spacing w:before="100" w:beforeAutospacing="1" w:after="100" w:afterAutospacing="1"/>
      <w:textAlignment w:val="auto"/>
    </w:pPr>
    <w:rPr>
      <w:rFonts w:cs="Times New Roman"/>
      <w:sz w:val="24"/>
    </w:rPr>
  </w:style>
  <w:style w:type="paragraph" w:customStyle="1" w:styleId="ruller50">
    <w:name w:val="ruller5"/>
    <w:basedOn w:val="a"/>
    <w:rsid w:val="00F20723"/>
    <w:pPr>
      <w:overflowPunct/>
      <w:autoSpaceDE/>
      <w:autoSpaceDN/>
      <w:bidi w:val="0"/>
      <w:adjustRightInd/>
      <w:spacing w:before="100" w:beforeAutospacing="1" w:after="100" w:afterAutospacing="1"/>
      <w:textAlignment w:val="auto"/>
    </w:pPr>
    <w:rPr>
      <w:rFonts w:cs="Times New Roman"/>
      <w:sz w:val="24"/>
    </w:rPr>
  </w:style>
  <w:style w:type="character" w:customStyle="1" w:styleId="ae">
    <w:name w:val="אזכור לא מזוהה"/>
    <w:uiPriority w:val="99"/>
    <w:semiHidden/>
    <w:unhideWhenUsed/>
    <w:rsid w:val="00F20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gov.il/he/departments/news/161220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upreme.court.gov.i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2550</Words>
  <Characters>12477</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החלטה בתיק בש"א  433/21</vt:lpstr>
    </vt:vector>
  </TitlesOfParts>
  <Company/>
  <LinksUpToDate>false</LinksUpToDate>
  <CharactersWithSpaces>14998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
  <cp:lastPrinted>2021-01-26T14:52:52Z</cp:lastPrinted>
  <dcterms:created xsi:type="dcterms:W3CDTF">2021-01-26T14:52:52Z</dcterms:created>
  <dcterms:modified xsi:type="dcterms:W3CDTF">2021-01-26T14:52:52Z</dcterms:modified>
</cp:coreProperties>
</file>