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P="006D3B31" w:rsidRDefault="00694556">
      <w:pPr>
        <w:suppressLineNumbers/>
        <w:rPr>
          <w:rFonts w:hint="cs"/>
          <w:rtl/>
        </w:rPr>
      </w:pPr>
    </w:p>
    <w:tbl>
      <w:tblPr>
        <w:tblStyle w:val="a9"/>
        <w:bidiVisual/>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hint="cs" w:ascii="Arial" w:hAnsi="Arial"/>
                <w:b/>
                <w:bCs/>
                <w:rtl/>
              </w:rPr>
              <w:t>ב</w:t>
            </w:r>
            <w:r>
              <w:rPr>
                <w:rFonts w:ascii="Arial" w:hAnsi="Arial"/>
                <w:b/>
                <w:bCs/>
                <w:rtl/>
              </w:rPr>
              <w:t xml:space="preserve">פני </w:t>
            </w:r>
          </w:p>
        </w:tc>
        <w:tc>
          <w:tcPr>
            <w:tcW w:w="8077" w:type="dxa"/>
            <w:gridSpan w:val="2"/>
          </w:tcPr>
          <w:p w:rsidR="00694556" w:rsidP="00406BB0" w:rsidRDefault="00567789">
            <w:pPr>
              <w:rPr>
                <w:rFonts w:ascii="Arial" w:hAnsi="Arial" w:cs="FrankRuehl"/>
                <w:sz w:val="28"/>
                <w:szCs w:val="28"/>
                <w:highlight w:val="yellow"/>
              </w:rPr>
            </w:pPr>
            <w:r>
              <w:rPr>
                <w:rFonts w:hint="cs" w:ascii="Arial" w:hAnsi="Arial"/>
                <w:b/>
                <w:bCs/>
                <w:rtl/>
              </w:rPr>
              <w:t>כב'</w:t>
            </w:r>
            <w:r w:rsidR="00A34F79">
              <w:rPr>
                <w:rFonts w:hint="cs" w:ascii="Arial" w:hAnsi="Arial"/>
                <w:b/>
                <w:bCs/>
                <w:rtl/>
              </w:rPr>
              <w:t xml:space="preserve"> הרשמת הבכירה</w:t>
            </w:r>
            <w:r w:rsidR="008B385E">
              <w:rPr>
                <w:rFonts w:hint="cs" w:ascii="Arial" w:hAnsi="Arial"/>
                <w:b/>
                <w:bCs/>
                <w:rtl/>
              </w:rPr>
              <w:t>,</w:t>
            </w:r>
            <w:r w:rsidR="00A34F79">
              <w:rPr>
                <w:rFonts w:hint="cs" w:ascii="Arial" w:hAnsi="Arial"/>
                <w:b/>
                <w:bCs/>
                <w:rtl/>
              </w:rPr>
              <w:t xml:space="preserve"> </w:t>
            </w:r>
            <w:r w:rsidR="00406BB0">
              <w:rPr>
                <w:rFonts w:hint="cs" w:ascii="Arial" w:hAnsi="Arial"/>
                <w:b/>
                <w:bCs/>
                <w:rtl/>
              </w:rPr>
              <w:t>עינת דינרמן</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1663075936"/>
              <w:text w:multiLine="1"/>
            </w:sdtPr>
            <w:sdtEndPr/>
            <w:sdtContent>
              <w:p w:rsidR="008665BD" w:rsidRDefault="00C62B04">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694556" w:rsidRDefault="00694556">
            <w:pPr>
              <w:rPr>
                <w:rFonts w:ascii="Arial" w:hAnsi="Arial"/>
                <w:b/>
                <w:bCs/>
                <w:noProof w:val="0"/>
                <w:sz w:val="26"/>
                <w:szCs w:val="26"/>
                <w:rtl/>
              </w:rPr>
            </w:pPr>
          </w:p>
          <w:p w:rsidR="00694556" w:rsidRDefault="00C62B04">
            <w:pPr>
              <w:rPr>
                <w:b/>
                <w:bCs/>
                <w:noProof w:val="0"/>
                <w:sz w:val="26"/>
                <w:szCs w:val="26"/>
              </w:rPr>
            </w:pPr>
            <w:sdt>
              <w:sdtPr>
                <w:rPr>
                  <w:rtl/>
                </w:rPr>
                <w:alias w:val="1478"/>
                <w:tag w:val="1478"/>
                <w:id w:val="1028833508"/>
                <w:text w:multiLine="1"/>
              </w:sdtPr>
              <w:sdtEndPr/>
              <w:sdtContent>
                <w:r w:rsidR="00406BB0">
                  <w:rPr>
                    <w:rFonts w:ascii="Arial" w:hAnsi="Arial"/>
                    <w:b/>
                    <w:bCs/>
                    <w:noProof w:val="0"/>
                    <w:sz w:val="26"/>
                    <w:szCs w:val="26"/>
                    <w:rtl/>
                  </w:rPr>
                  <w:t>זויה שבתייב</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C62B04">
            <w:pPr>
              <w:rPr>
                <w:rFonts w:ascii="Arial" w:hAnsi="Arial"/>
                <w:b/>
                <w:bCs/>
                <w:noProof w:val="0"/>
                <w:sz w:val="26"/>
                <w:szCs w:val="26"/>
              </w:rPr>
            </w:pPr>
            <w:sdt>
              <w:sdtPr>
                <w:rPr>
                  <w:rtl/>
                </w:rPr>
                <w:alias w:val="1184"/>
                <w:tag w:val="1184"/>
                <w:id w:val="547114058"/>
                <w:text w:multiLine="1"/>
              </w:sdtPr>
              <w:sdtEndPr/>
              <w:sdtContent>
                <w:r w:rsidR="00406BB0">
                  <w:rPr>
                    <w:rFonts w:ascii="Arial" w:hAnsi="Arial"/>
                    <w:b/>
                    <w:bCs/>
                    <w:noProof w:val="0"/>
                    <w:sz w:val="26"/>
                    <w:szCs w:val="26"/>
                    <w:rtl/>
                  </w:rPr>
                  <w:t>נתבעים</w:t>
                </w:r>
              </w:sdtContent>
            </w:sdt>
          </w:p>
        </w:tc>
        <w:tc>
          <w:tcPr>
            <w:tcW w:w="5571" w:type="dxa"/>
          </w:tcPr>
          <w:p w:rsidR="00694556" w:rsidRDefault="00694556">
            <w:pPr>
              <w:rPr>
                <w:rFonts w:ascii="Arial" w:hAnsi="Arial"/>
                <w:b/>
                <w:bCs/>
                <w:noProof w:val="0"/>
                <w:sz w:val="26"/>
                <w:szCs w:val="26"/>
                <w:rtl/>
              </w:rPr>
            </w:pPr>
          </w:p>
          <w:p w:rsidR="00694556" w:rsidRDefault="00C62B04">
            <w:pPr>
              <w:rPr>
                <w:b/>
                <w:bCs/>
                <w:noProof w:val="0"/>
                <w:sz w:val="26"/>
                <w:szCs w:val="26"/>
                <w:rtl/>
              </w:rPr>
            </w:pPr>
            <w:sdt>
              <w:sdtPr>
                <w:rPr>
                  <w:rtl/>
                </w:rPr>
                <w:alias w:val="1486"/>
                <w:tag w:val="1486"/>
                <w:id w:val="1161810889"/>
                <w:text w:multiLine="1"/>
              </w:sdtPr>
              <w:sdtEndPr/>
              <w:sdtContent>
                <w:r w:rsidR="00406BB0">
                  <w:rPr>
                    <w:rFonts w:ascii="Arial" w:hAnsi="Arial"/>
                    <w:b/>
                    <w:bCs/>
                    <w:noProof w:val="0"/>
                    <w:sz w:val="26"/>
                    <w:szCs w:val="26"/>
                    <w:rtl/>
                  </w:rPr>
                  <w:t>רגב אסוד</w:t>
                </w:r>
              </w:sdtContent>
            </w:sdt>
          </w:p>
        </w:tc>
      </w:tr>
    </w:tbl>
    <w:p w:rsidR="00694556" w:rsidP="006D3B31" w:rsidRDefault="00694556">
      <w:pPr>
        <w:suppressLineNumbers/>
      </w:pPr>
    </w:p>
    <w:p w:rsidR="00694556" w:rsidP="006D3B31" w:rsidRDefault="00694556">
      <w:pPr>
        <w:suppressLineNumbers/>
      </w:pPr>
    </w:p>
    <w:tbl>
      <w:tblPr>
        <w:tblStyle w:val="a9"/>
        <w:bidiVisual/>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hint="cs" w:ascii="Arial" w:hAnsi="Arial"/>
                <w:b/>
                <w:bCs/>
                <w:noProof w:val="0"/>
                <w:sz w:val="28"/>
                <w:szCs w:val="28"/>
                <w:u w:val="single"/>
                <w:rtl/>
              </w:rPr>
              <w:t>החלטה</w:t>
            </w:r>
          </w:p>
        </w:tc>
      </w:tr>
    </w:tbl>
    <w:p w:rsidR="00694556" w:rsidRDefault="00694556">
      <w:pPr>
        <w:spacing w:line="360" w:lineRule="auto"/>
        <w:jc w:val="both"/>
        <w:rPr>
          <w:rFonts w:ascii="Arial" w:hAnsi="Arial"/>
          <w:noProof w:val="0"/>
          <w:rtl/>
        </w:rPr>
      </w:pPr>
    </w:p>
    <w:p w:rsidR="000B142A" w:rsidP="000B142A" w:rsidRDefault="000B142A">
      <w:pPr>
        <w:pStyle w:val="ac"/>
        <w:spacing w:line="480" w:lineRule="auto"/>
        <w:jc w:val="both"/>
        <w:rPr>
          <w:rFonts w:ascii="Arial" w:hAnsi="Arial"/>
          <w:b/>
          <w:bCs/>
          <w:noProof w:val="0"/>
        </w:rPr>
      </w:pPr>
      <w:r>
        <w:rPr>
          <w:rFonts w:ascii="Arial" w:hAnsi="Arial"/>
          <w:b/>
          <w:bCs/>
          <w:noProof w:val="0"/>
          <w:rtl/>
        </w:rPr>
        <w:t>השאלה הניצבת בפני בית המשפט בתיק דנן היא מה דינו של נתבע אשר מתעלם מהחלטות שיפוטיות בעניינו ואינו מאפשר לתובעת עיון במסמכים אשר צוינו על ידו בגילוי המסמכים מטעמו? והאם מדובר במקרה מיוחד המצדיק מחיקת כתב טענותיו לאורן של תקנות סדר הדין האזרחי החדשות?</w:t>
      </w:r>
    </w:p>
    <w:p w:rsidR="000B142A" w:rsidP="000B142A" w:rsidRDefault="000B142A">
      <w:pPr>
        <w:pStyle w:val="ac"/>
        <w:spacing w:line="360" w:lineRule="auto"/>
        <w:jc w:val="both"/>
        <w:rPr>
          <w:rFonts w:ascii="Arial" w:hAnsi="Arial"/>
          <w:b/>
          <w:bCs/>
          <w:noProof w:val="0"/>
          <w:u w:val="single"/>
          <w:rtl/>
        </w:rPr>
      </w:pPr>
      <w:r>
        <w:rPr>
          <w:rFonts w:ascii="Arial" w:hAnsi="Arial"/>
          <w:b/>
          <w:bCs/>
          <w:noProof w:val="0"/>
          <w:u w:val="single"/>
          <w:rtl/>
        </w:rPr>
        <w:t>רקע:</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בפני בקשה למתן החלטה בבקשות התובעת למחיקת כתב ההגנה של הנתבע וחיובו בהוצאות בשל התנהלותו בתיק זה.</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עסקינן בתביעה כספית בסדר דין מהיר על סך של 30,342 ₪ אשר הגישה התובעת, קשישה בת 81, כנגד הנתבע לפיצוי בגין הפרת חוזה שכירות של חנות ברחוב הרצל 18 בעכו.</w:t>
      </w:r>
    </w:p>
    <w:p w:rsidR="000B142A" w:rsidP="000B142A" w:rsidRDefault="000B142A">
      <w:pPr>
        <w:pStyle w:val="ac"/>
        <w:spacing w:line="360" w:lineRule="auto"/>
        <w:jc w:val="both"/>
        <w:rPr>
          <w:rFonts w:ascii="Arial" w:hAnsi="Arial"/>
          <w:noProof w:val="0"/>
        </w:rPr>
      </w:pPr>
      <w:r>
        <w:rPr>
          <w:rFonts w:ascii="Arial" w:hAnsi="Arial"/>
          <w:noProof w:val="0"/>
          <w:rtl/>
        </w:rPr>
        <w:t>(להלן :"</w:t>
      </w:r>
      <w:r>
        <w:rPr>
          <w:rFonts w:ascii="Arial" w:hAnsi="Arial"/>
          <w:b/>
          <w:bCs/>
          <w:noProof w:val="0"/>
          <w:rtl/>
        </w:rPr>
        <w:t>המושכר</w:t>
      </w:r>
      <w:r>
        <w:rPr>
          <w:rFonts w:ascii="Arial" w:hAnsi="Arial"/>
          <w:noProof w:val="0"/>
          <w:rtl/>
        </w:rPr>
        <w:t>") ; וכן לפיצוי נזקיה הנטענים בגין הרס מוחלט של המושכר בידי הנתבע.</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הנתבע טען, מנגד, בכתב הגנתו כי דין התביעה נגדו להידחות ו/או להימחק על הסף מחמת העדר עילה ו/או העדר יריבות שכן לשיטתו התביעה הוגשה נגדו לאחר חודשים רבים שעזב את המושכר ולאחר שזה הושכר לצד ג' במשך תקופה ארוכה.</w:t>
      </w:r>
    </w:p>
    <w:p w:rsidR="000B142A" w:rsidP="000B142A" w:rsidRDefault="000B142A">
      <w:pPr>
        <w:pStyle w:val="ac"/>
        <w:spacing w:line="360" w:lineRule="auto"/>
        <w:jc w:val="both"/>
        <w:rPr>
          <w:rFonts w:ascii="Arial" w:hAnsi="Arial"/>
          <w:noProof w:val="0"/>
        </w:rPr>
      </w:pPr>
    </w:p>
    <w:p w:rsidR="000B142A" w:rsidP="000B142A" w:rsidRDefault="000B142A">
      <w:pPr>
        <w:pStyle w:val="ac"/>
        <w:spacing w:line="360" w:lineRule="auto"/>
        <w:jc w:val="both"/>
        <w:rPr>
          <w:rFonts w:ascii="Arial" w:hAnsi="Arial"/>
          <w:b/>
          <w:bCs/>
          <w:noProof w:val="0"/>
          <w:u w:val="single"/>
          <w:rtl/>
        </w:rPr>
      </w:pPr>
      <w:r>
        <w:rPr>
          <w:rFonts w:ascii="Arial" w:hAnsi="Arial"/>
          <w:b/>
          <w:bCs/>
          <w:noProof w:val="0"/>
          <w:u w:val="single"/>
          <w:rtl/>
        </w:rPr>
        <w:t>ההליכים בתיק:</w:t>
      </w:r>
    </w:p>
    <w:p w:rsidR="000B142A" w:rsidP="000B142A" w:rsidRDefault="000B142A">
      <w:pPr>
        <w:pStyle w:val="ac"/>
        <w:numPr>
          <w:ilvl w:val="0"/>
          <w:numId w:val="1"/>
        </w:numPr>
        <w:spacing w:line="360" w:lineRule="auto"/>
        <w:jc w:val="both"/>
        <w:rPr>
          <w:rFonts w:ascii="Arial" w:hAnsi="Arial"/>
          <w:noProof w:val="0"/>
          <w:rtl/>
        </w:rPr>
      </w:pPr>
      <w:r>
        <w:rPr>
          <w:rFonts w:ascii="Arial" w:hAnsi="Arial"/>
          <w:noProof w:val="0"/>
          <w:rtl/>
        </w:rPr>
        <w:t xml:space="preserve">בתאריך </w:t>
      </w:r>
      <w:r>
        <w:rPr>
          <w:rFonts w:ascii="Arial" w:hAnsi="Arial"/>
          <w:b/>
          <w:bCs/>
          <w:noProof w:val="0"/>
          <w:rtl/>
        </w:rPr>
        <w:t>5.8.2020</w:t>
      </w:r>
      <w:r>
        <w:rPr>
          <w:rFonts w:ascii="Arial" w:hAnsi="Arial"/>
          <w:noProof w:val="0"/>
          <w:rtl/>
        </w:rPr>
        <w:t xml:space="preserve"> התקיימה ישיבה מקדמית בתיק, במסגרתה ביקשה התובעת כי הנתבע יאפשר לה עיון במסמכים הנזכרים בסעיף 4 (ד) לגילוי המסמכים מטעמו; וניתנה החלטה </w:t>
      </w:r>
      <w:r>
        <w:rPr>
          <w:rFonts w:ascii="Arial" w:hAnsi="Arial"/>
          <w:noProof w:val="0"/>
          <w:rtl/>
        </w:rPr>
        <w:lastRenderedPageBreak/>
        <w:t>בדבר השלמת הליכי גילוי ועיון בתיק אשר נקבע כי ייעשו בתוך 30 יום באופן הדדי וכן נקבע כי תצהירי העדות הראשית יוגשו המודעים הנקובים לאחר השלמת הליכי הגילוי.</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 xml:space="preserve">בתאריך </w:t>
      </w:r>
      <w:r>
        <w:rPr>
          <w:rFonts w:ascii="Arial" w:hAnsi="Arial"/>
          <w:b/>
          <w:bCs/>
          <w:noProof w:val="0"/>
          <w:rtl/>
        </w:rPr>
        <w:t xml:space="preserve">8.9.20 </w:t>
      </w:r>
      <w:r>
        <w:rPr>
          <w:rFonts w:ascii="Arial" w:hAnsi="Arial"/>
          <w:noProof w:val="0"/>
          <w:rtl/>
        </w:rPr>
        <w:t>הודיעה התובעת כי הנתבע טרם המציא לעיונה את המסמכים הדרושים (אשר הינם תמונות וסרטונים) וזאת חרף החלטת בית המשפט מיום 5.8.20 ולאחר שהמועד שהיה על הנתבע לעשות כן חלף.</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 xml:space="preserve">בתאריך </w:t>
      </w:r>
      <w:r>
        <w:rPr>
          <w:rFonts w:ascii="Arial" w:hAnsi="Arial"/>
          <w:b/>
          <w:bCs/>
          <w:noProof w:val="0"/>
          <w:rtl/>
        </w:rPr>
        <w:t>14.10.20</w:t>
      </w:r>
      <w:r>
        <w:rPr>
          <w:rFonts w:ascii="Arial" w:hAnsi="Arial"/>
          <w:noProof w:val="0"/>
          <w:rtl/>
        </w:rPr>
        <w:t xml:space="preserve"> ניתנה החלטת בית המשפט במסגרתה הורה לנתבע לאפשר לתובעת עיון במסמכים הנזכרים בגילוי המסמכים בתוך 3 ימים, אחרת יישקל חיובו בהוצאות.</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 xml:space="preserve">הנתבע לא עשה כן ובתאריך </w:t>
      </w:r>
      <w:r>
        <w:rPr>
          <w:rFonts w:ascii="Arial" w:hAnsi="Arial"/>
          <w:b/>
          <w:bCs/>
          <w:noProof w:val="0"/>
          <w:rtl/>
        </w:rPr>
        <w:t>21.10.20</w:t>
      </w:r>
      <w:r>
        <w:rPr>
          <w:rFonts w:ascii="Arial" w:hAnsi="Arial"/>
          <w:noProof w:val="0"/>
          <w:rtl/>
        </w:rPr>
        <w:t xml:space="preserve"> הגישה הנתבעת בקשה למחיקת כתב הגנה, במסגרתה התריעה בין היתר כי בשל מחדלי הנתבע, עלול להיווצר מצב שבו ישיבת ההוכחות שהייתה קבועה לתאריך 28.12.20 תידחה, שכן ללא השלמת הליכי הגילוי והעיון לא ניתן להתקדם בהגשת תצהירי עדות ראשית בתיק ושמיעת העדים.</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 xml:space="preserve">בתאריך </w:t>
      </w:r>
      <w:r>
        <w:rPr>
          <w:rFonts w:ascii="Arial" w:hAnsi="Arial"/>
          <w:b/>
          <w:bCs/>
          <w:noProof w:val="0"/>
          <w:rtl/>
        </w:rPr>
        <w:t>10.11.20</w:t>
      </w:r>
      <w:r>
        <w:rPr>
          <w:rFonts w:ascii="Arial" w:hAnsi="Arial"/>
          <w:noProof w:val="0"/>
          <w:rtl/>
        </w:rPr>
        <w:t xml:space="preserve"> הוגשה ע"י ב"כ הנתבע הודעה ולפיה נעדר ממשרדו ממושכות וכי "הטיפול בדרישות המקדמיות"- כך כלשונו, ייעשה עד לא יאוחר מיום 12.11.20.</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 xml:space="preserve">בתאריך </w:t>
      </w:r>
      <w:r>
        <w:rPr>
          <w:rFonts w:ascii="Arial" w:hAnsi="Arial"/>
          <w:b/>
          <w:bCs/>
          <w:noProof w:val="0"/>
          <w:rtl/>
        </w:rPr>
        <w:t xml:space="preserve">15.11.20 </w:t>
      </w:r>
      <w:r>
        <w:rPr>
          <w:rFonts w:ascii="Arial" w:hAnsi="Arial"/>
          <w:noProof w:val="0"/>
          <w:rtl/>
        </w:rPr>
        <w:t>הגיש ב"כ הנתבע הודעה ולפיה נטען כי מילא אחר הדרישות המקדמיות והמציא לתובעת את המסמכים הדרושים וביקש למחוק את הבקשה למחיקת כתב הגנה.</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 xml:space="preserve">התובעת הגישה בתאריך </w:t>
      </w:r>
      <w:r>
        <w:rPr>
          <w:rFonts w:ascii="Arial" w:hAnsi="Arial"/>
          <w:b/>
          <w:bCs/>
          <w:noProof w:val="0"/>
          <w:rtl/>
        </w:rPr>
        <w:t xml:space="preserve">27.11.20 </w:t>
      </w:r>
      <w:r>
        <w:rPr>
          <w:rFonts w:ascii="Arial" w:hAnsi="Arial"/>
          <w:noProof w:val="0"/>
          <w:rtl/>
        </w:rPr>
        <w:t>הודעה ובה טענה כי ב"כ הנתבע שלח אליה דואר אלקטרוני ואליו צירף לדבריו את הסרטונים, אולם אלה אינם ניתנים לפתיחה והיא שבה ודרשה המצאתם לעיונה.</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בין לבין, הגישו ב"כ הצדדים בקשה מוסכמת לדחיית דיון ההוכחות עקב מחלתו של ב"כ הנתבע בנגיף הקורונה, אשר התקבלה.</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 xml:space="preserve">בתאריך </w:t>
      </w:r>
      <w:r>
        <w:rPr>
          <w:rFonts w:ascii="Arial" w:hAnsi="Arial"/>
          <w:b/>
          <w:bCs/>
          <w:noProof w:val="0"/>
          <w:rtl/>
        </w:rPr>
        <w:t>20.12.20</w:t>
      </w:r>
      <w:r>
        <w:rPr>
          <w:rFonts w:ascii="Arial" w:hAnsi="Arial"/>
          <w:noProof w:val="0"/>
          <w:rtl/>
        </w:rPr>
        <w:t xml:space="preserve"> ניתנה החלטת בית המשפט ולפיה על הנתבע להעביר לב"כ התובעת את הסרטונים באותו היום וזאת באופן שיאפשר עיון בהם שאם לא כן יישקל חיובו בהוצאות.</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הנתבע לא עשה כן ולא המציא את הסרטונים לעיונה של ב"כ התובעת וזאת עד מועד כתיבת שורות אלו, חרף החלטות מפורשות של בית המשפט.</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 xml:space="preserve">לאור זאת הגישה התובעת בתאריך </w:t>
      </w:r>
      <w:r>
        <w:rPr>
          <w:rFonts w:ascii="Arial" w:hAnsi="Arial"/>
          <w:b/>
          <w:bCs/>
          <w:noProof w:val="0"/>
          <w:rtl/>
        </w:rPr>
        <w:t>15.4.21</w:t>
      </w:r>
      <w:r>
        <w:rPr>
          <w:rFonts w:ascii="Arial" w:hAnsi="Arial"/>
          <w:noProof w:val="0"/>
          <w:rtl/>
        </w:rPr>
        <w:t xml:space="preserve"> בקשה נוספת, חמישית במספר, למחיקת כתב הגנתו של הנתבע וחיובו בהוצאות לאור התנהלותו של הנתבע, אשר למעשה גורמת להעדר אפשרות לניהול התיק.</w:t>
      </w:r>
    </w:p>
    <w:p w:rsidR="000B142A" w:rsidP="000B142A" w:rsidRDefault="000B142A">
      <w:pPr>
        <w:pStyle w:val="ac"/>
        <w:spacing w:line="360" w:lineRule="auto"/>
        <w:jc w:val="both"/>
        <w:rPr>
          <w:rFonts w:ascii="Arial" w:hAnsi="Arial"/>
          <w:b/>
          <w:bCs/>
          <w:noProof w:val="0"/>
          <w:u w:val="single"/>
        </w:rPr>
      </w:pPr>
      <w:r>
        <w:rPr>
          <w:rFonts w:ascii="Arial" w:hAnsi="Arial"/>
          <w:b/>
          <w:bCs/>
          <w:noProof w:val="0"/>
          <w:u w:val="single"/>
          <w:rtl/>
        </w:rPr>
        <w:t>דיון והכרעה:</w:t>
      </w:r>
    </w:p>
    <w:p w:rsidR="000B142A" w:rsidP="000B142A" w:rsidRDefault="000B142A">
      <w:pPr>
        <w:pStyle w:val="ac"/>
        <w:spacing w:line="360" w:lineRule="auto"/>
        <w:jc w:val="both"/>
        <w:rPr>
          <w:rFonts w:ascii="Arial" w:hAnsi="Arial"/>
          <w:noProof w:val="0"/>
          <w:rtl/>
        </w:rPr>
      </w:pPr>
      <w:r>
        <w:rPr>
          <w:rFonts w:ascii="Arial" w:hAnsi="Arial"/>
          <w:noProof w:val="0"/>
          <w:rtl/>
        </w:rPr>
        <w:t>המסגרת הנורמטיבית:</w:t>
      </w:r>
    </w:p>
    <w:p w:rsidR="000B142A" w:rsidP="000B142A" w:rsidRDefault="000B142A">
      <w:pPr>
        <w:spacing w:line="360" w:lineRule="auto"/>
        <w:jc w:val="both"/>
        <w:rPr>
          <w:rFonts w:ascii="Arial" w:hAnsi="Arial"/>
          <w:noProof w:val="0"/>
        </w:rPr>
      </w:pPr>
    </w:p>
    <w:p w:rsidR="000B142A" w:rsidP="000B142A" w:rsidRDefault="000B142A">
      <w:pPr>
        <w:pStyle w:val="10"/>
        <w:numPr>
          <w:ilvl w:val="0"/>
          <w:numId w:val="1"/>
        </w:numPr>
        <w:spacing w:line="360" w:lineRule="auto"/>
        <w:jc w:val="both"/>
        <w:rPr>
          <w:rFonts w:ascii="Arial" w:hAnsi="Arial"/>
          <w:noProof w:val="0"/>
        </w:rPr>
      </w:pPr>
      <w:hyperlink w:history="1" r:id="rId9">
        <w:r>
          <w:rPr>
            <w:rStyle w:val="Hyperlink"/>
            <w:rFonts w:ascii="Arial" w:hAnsi="Arial"/>
            <w:noProof w:val="0"/>
            <w:color w:val="0000FF"/>
            <w:rtl/>
          </w:rPr>
          <w:t>בתקנה 4</w:t>
        </w:r>
      </w:hyperlink>
      <w:r>
        <w:rPr>
          <w:rFonts w:ascii="Arial" w:hAnsi="Arial"/>
          <w:noProof w:val="0"/>
          <w:rtl/>
        </w:rPr>
        <w:t xml:space="preserve"> לתקנות סדר הדין האזרחי , התשע"ט -2018 נקבע כי על בעלי הדין ובאי כוחם מוטלת חובה שלא "</w:t>
      </w:r>
      <w:r>
        <w:rPr>
          <w:rFonts w:ascii="Arial" w:hAnsi="Arial"/>
          <w:b/>
          <w:bCs/>
          <w:noProof w:val="0"/>
          <w:rtl/>
        </w:rPr>
        <w:t>לעשות שימוש לרעה בהליכי משפט ובכלל זה פעולה בהליך שמטרתה או תוצאתה לשבשו, להשהותו או להטריד בעל דין...</w:t>
      </w:r>
      <w:r>
        <w:rPr>
          <w:rFonts w:ascii="Arial" w:hAnsi="Arial"/>
          <w:noProof w:val="0"/>
          <w:rtl/>
        </w:rPr>
        <w:t xml:space="preserve">" </w:t>
      </w:r>
    </w:p>
    <w:p w:rsidR="000B142A" w:rsidP="000B142A" w:rsidRDefault="000B142A">
      <w:pPr>
        <w:pStyle w:val="10"/>
        <w:rPr>
          <w:rFonts w:ascii="Arial" w:hAnsi="Arial"/>
          <w:noProof w:val="0"/>
        </w:rPr>
      </w:pPr>
    </w:p>
    <w:p w:rsidR="000B142A" w:rsidP="000B142A" w:rsidRDefault="000B142A">
      <w:pPr>
        <w:pStyle w:val="10"/>
        <w:spacing w:line="360" w:lineRule="auto"/>
        <w:jc w:val="both"/>
        <w:rPr>
          <w:rFonts w:ascii="Arial" w:hAnsi="Arial"/>
          <w:b/>
          <w:bCs/>
          <w:noProof w:val="0"/>
          <w:highlight w:val="yellow"/>
        </w:rPr>
      </w:pPr>
      <w:r>
        <w:rPr>
          <w:rFonts w:ascii="Arial" w:hAnsi="Arial"/>
          <w:noProof w:val="0"/>
          <w:rtl/>
        </w:rPr>
        <w:t xml:space="preserve">בהתאם, נקבע </w:t>
      </w:r>
      <w:hyperlink w:history="1" r:id="rId10">
        <w:r>
          <w:rPr>
            <w:rStyle w:val="Hyperlink"/>
            <w:rFonts w:ascii="Arial" w:hAnsi="Arial"/>
            <w:noProof w:val="0"/>
            <w:color w:val="0000FF"/>
            <w:rtl/>
          </w:rPr>
          <w:t>בתקנה 42</w:t>
        </w:r>
      </w:hyperlink>
      <w:r>
        <w:rPr>
          <w:rFonts w:ascii="Arial" w:hAnsi="Arial"/>
          <w:noProof w:val="0"/>
          <w:rtl/>
        </w:rPr>
        <w:t xml:space="preserve"> כי אם: "</w:t>
      </w:r>
      <w:r>
        <w:rPr>
          <w:rFonts w:ascii="Arial" w:hAnsi="Arial"/>
          <w:b/>
          <w:bCs/>
          <w:noProof w:val="0"/>
          <w:rtl/>
        </w:rPr>
        <w:t>סבר בית המשפט שבעל דין עשה שימוש לרעה בהליכי משפט רשאי הוא מטעם זה בלבד, למחוק את כתב טענותיו כולו או מקצתו</w:t>
      </w:r>
      <w:r>
        <w:rPr>
          <w:rFonts w:ascii="Arial" w:hAnsi="Arial"/>
          <w:noProof w:val="0"/>
          <w:rtl/>
        </w:rPr>
        <w:t>."</w:t>
      </w:r>
    </w:p>
    <w:p w:rsidR="000B142A" w:rsidP="000B142A" w:rsidRDefault="000B142A">
      <w:pPr>
        <w:pStyle w:val="10"/>
        <w:rPr>
          <w:rFonts w:ascii="Arial" w:hAnsi="Arial"/>
          <w:noProof w:val="0"/>
          <w:rtl/>
        </w:rPr>
      </w:pPr>
    </w:p>
    <w:p w:rsidR="000B142A" w:rsidP="000B142A" w:rsidRDefault="000B142A">
      <w:pPr>
        <w:pStyle w:val="10"/>
        <w:numPr>
          <w:ilvl w:val="0"/>
          <w:numId w:val="1"/>
        </w:numPr>
        <w:spacing w:line="360" w:lineRule="auto"/>
        <w:jc w:val="both"/>
        <w:rPr>
          <w:rFonts w:ascii="Arial" w:hAnsi="Arial"/>
          <w:noProof w:val="0"/>
        </w:rPr>
      </w:pPr>
      <w:r>
        <w:rPr>
          <w:rFonts w:ascii="Arial" w:hAnsi="Arial"/>
          <w:noProof w:val="0"/>
          <w:rtl/>
        </w:rPr>
        <w:t xml:space="preserve">גם בתקנה </w:t>
      </w:r>
      <w:hyperlink w:history="1" r:id="rId11">
        <w:r>
          <w:rPr>
            <w:rStyle w:val="Hyperlink"/>
            <w:rFonts w:ascii="Arial" w:hAnsi="Arial"/>
            <w:noProof w:val="0"/>
            <w:color w:val="0000FF"/>
            <w:rtl/>
          </w:rPr>
          <w:t>60 (א)</w:t>
        </w:r>
      </w:hyperlink>
      <w:r>
        <w:rPr>
          <w:rFonts w:ascii="Arial" w:hAnsi="Arial"/>
          <w:noProof w:val="0"/>
          <w:rtl/>
        </w:rPr>
        <w:t xml:space="preserve"> ישנה הוראה דומה: </w:t>
      </w:r>
      <w:r>
        <w:rPr>
          <w:rFonts w:ascii="Arial" w:hAnsi="Arial"/>
          <w:b/>
          <w:bCs/>
          <w:noProof w:val="0"/>
          <w:rtl/>
        </w:rPr>
        <w:t>"הליכי גילוי ועיון נאותים מהווים תנאי בסיסי לקיומו של הליך שיפוטי ראוי והוגן; סבר בית המשפט שבעל דין לא קיים כראוי את חובתו לפי פרק זה, רשאי הוא לחייבו באופן מיידי בהוצאות ובמקרים מיוחדים אף למחוק את כתבי טענותיו</w:t>
      </w:r>
      <w:r>
        <w:rPr>
          <w:rFonts w:ascii="Arial" w:hAnsi="Arial"/>
          <w:noProof w:val="0"/>
          <w:rtl/>
        </w:rPr>
        <w:t>".</w:t>
      </w:r>
    </w:p>
    <w:p w:rsidR="000B142A" w:rsidP="000B142A" w:rsidRDefault="000B142A">
      <w:pPr>
        <w:pStyle w:val="10"/>
        <w:rPr>
          <w:rFonts w:ascii="Arial" w:hAnsi="Arial"/>
          <w:noProof w:val="0"/>
          <w:rtl/>
        </w:rPr>
      </w:pPr>
    </w:p>
    <w:p w:rsidR="000B142A" w:rsidP="000B142A" w:rsidRDefault="000B142A">
      <w:pPr>
        <w:pStyle w:val="ac"/>
        <w:numPr>
          <w:ilvl w:val="0"/>
          <w:numId w:val="1"/>
        </w:numPr>
        <w:shd w:val="clear" w:color="auto" w:fill="FFFFFF"/>
        <w:spacing w:before="150" w:after="150" w:line="360" w:lineRule="auto"/>
        <w:jc w:val="both"/>
        <w:rPr>
          <w:rFonts w:ascii="Arimo" w:hAnsi="Arimo"/>
          <w:b/>
          <w:bCs/>
        </w:rPr>
      </w:pPr>
      <w:r>
        <w:rPr>
          <w:rFonts w:ascii="Arimo" w:hAnsi="Arimo"/>
          <w:rtl/>
        </w:rPr>
        <w:t xml:space="preserve">עוד נקבע בתקנה 60 (ג) כי: </w:t>
      </w:r>
      <w:r>
        <w:rPr>
          <w:rFonts w:ascii="Arimo" w:hAnsi="Arimo"/>
          <w:b/>
          <w:bCs/>
          <w:rtl/>
        </w:rPr>
        <w:t>"בלי לגרוע מהאמור בתקנת משנה (א), בעל דין שאינו מגלה מסמך שיש לגלותו או שאינו נענה לדרישה לעיין במסמך שגילה, לא יהיה רשאי להגיש את המסמך כראיה מטעמו באותה תובענה, אלא ברשות בית המשפט לאחר שנוכח לדעת כי היה לבעל הדין הצדק סביר למחדלו, ואם מדובר במסמך המזיק לעניינו של בעל הדין רשאי בית המשפט להורות על מחיקת כתב התביעה או כתב ההגנה, לפי העניין, ואם לא הורה כן, יורה על חיובו בהוצאות זולת אם מצא טעמים מיוחדים שלא לעשות כן".</w:t>
      </w:r>
    </w:p>
    <w:p w:rsidR="000B142A" w:rsidP="000B142A" w:rsidRDefault="000B142A">
      <w:pPr>
        <w:pStyle w:val="ac"/>
        <w:rPr>
          <w:rFonts w:ascii="Arimo" w:hAnsi="Arimo"/>
          <w:b/>
          <w:bCs/>
        </w:rPr>
      </w:pPr>
    </w:p>
    <w:p w:rsidR="000B142A" w:rsidP="000B142A" w:rsidRDefault="000B142A">
      <w:pPr>
        <w:pStyle w:val="ac"/>
        <w:numPr>
          <w:ilvl w:val="0"/>
          <w:numId w:val="1"/>
        </w:numPr>
        <w:shd w:val="clear" w:color="auto" w:fill="FFFFFF"/>
        <w:spacing w:before="150" w:after="150" w:line="360" w:lineRule="auto"/>
        <w:ind w:left="714" w:hanging="357"/>
        <w:jc w:val="both"/>
        <w:rPr>
          <w:rFonts w:ascii="Arimo" w:hAnsi="Arimo"/>
          <w:b/>
          <w:bCs/>
          <w:rtl/>
        </w:rPr>
      </w:pPr>
      <w:r>
        <w:rPr>
          <w:rFonts w:ascii="Arial" w:hAnsi="Arial"/>
          <w:noProof w:val="0"/>
          <w:rtl/>
        </w:rPr>
        <w:t>הוראות אלו חלות גם כאשר עסקינן בהליך בסדר דין מהיר ודומה כי יש להחילן ביתר שאת בשל אופיו של ההליך, אשר הדגש בו מושם על מהירותו ויעילותו של הדיון.</w:t>
      </w:r>
    </w:p>
    <w:p w:rsidR="000B142A" w:rsidP="000B142A" w:rsidRDefault="000B142A">
      <w:pPr>
        <w:pStyle w:val="ac"/>
        <w:rPr>
          <w:rFonts w:ascii="Arial" w:hAnsi="Arial"/>
          <w:noProof w:val="0"/>
        </w:rPr>
      </w:pPr>
    </w:p>
    <w:p w:rsidR="000B142A" w:rsidP="000B142A" w:rsidRDefault="000B142A">
      <w:pPr>
        <w:pStyle w:val="ac"/>
        <w:shd w:val="clear" w:color="auto" w:fill="FFFFFF"/>
        <w:spacing w:before="150" w:after="150" w:line="360" w:lineRule="auto"/>
        <w:ind w:left="714"/>
        <w:jc w:val="both"/>
        <w:rPr>
          <w:rFonts w:ascii="David" w:hAnsi="David"/>
          <w:b/>
          <w:bCs/>
          <w:rtl/>
        </w:rPr>
      </w:pPr>
      <w:r>
        <w:rPr>
          <w:rFonts w:ascii="Arial" w:hAnsi="Arial"/>
          <w:noProof w:val="0"/>
          <w:rtl/>
        </w:rPr>
        <w:t xml:space="preserve">ר' תקנה 79 (ב) לתקנות סדר הדין האזרחי: </w:t>
      </w:r>
      <w:r>
        <w:rPr>
          <w:rFonts w:ascii="David" w:hAnsi="David"/>
          <w:b/>
          <w:bCs/>
          <w:noProof w:val="0"/>
          <w:rtl/>
        </w:rPr>
        <w:t>"תקנה פרק ט' למעט תקנה 59(ב), לא יחול על תובענות בדיון מהיר ואולם, לא צירף בעל דין מסמך כאמור בתקנת משנה (א)(2), תחול לגביו תקנה 60 בשינויים המחויבים".</w:t>
      </w:r>
    </w:p>
    <w:p w:rsidR="000B142A" w:rsidP="000B142A" w:rsidRDefault="000B142A">
      <w:pPr>
        <w:pStyle w:val="ac"/>
        <w:shd w:val="clear" w:color="auto" w:fill="FFFFFF"/>
        <w:spacing w:before="150" w:after="150" w:line="360" w:lineRule="auto"/>
        <w:ind w:left="714"/>
        <w:jc w:val="both"/>
        <w:rPr>
          <w:rFonts w:ascii="David" w:hAnsi="David"/>
          <w:b/>
          <w:bCs/>
          <w:rtl/>
        </w:rPr>
      </w:pPr>
    </w:p>
    <w:p w:rsidR="000B142A" w:rsidP="000B142A" w:rsidRDefault="000B142A">
      <w:pPr>
        <w:pStyle w:val="ac"/>
        <w:numPr>
          <w:ilvl w:val="0"/>
          <w:numId w:val="1"/>
        </w:numPr>
        <w:spacing w:line="360" w:lineRule="auto"/>
        <w:jc w:val="both"/>
        <w:rPr>
          <w:rFonts w:ascii="Arial" w:hAnsi="Arial"/>
          <w:noProof w:val="0"/>
          <w:rtl/>
        </w:rPr>
      </w:pPr>
      <w:r>
        <w:rPr>
          <w:rFonts w:ascii="Arial" w:hAnsi="Arial"/>
          <w:noProof w:val="0"/>
          <w:rtl/>
        </w:rPr>
        <w:t xml:space="preserve">לעניין זה יפה הפסיקה אליה הפנתה ב"כ התובעת בסיכומיה, אשר ניתן לראות בה "סנונית ראשונה" להחלת תקנות סדר הדין האזרחי התשע"ט-2018 (ר' בין היתר ת.א. 15063-05-18 </w:t>
      </w:r>
      <w:r>
        <w:rPr>
          <w:rFonts w:ascii="Arial" w:hAnsi="Arial"/>
          <w:b/>
          <w:bCs/>
          <w:noProof w:val="0"/>
          <w:rtl/>
        </w:rPr>
        <w:t>פרטוק נ' בר כהן</w:t>
      </w:r>
      <w:r>
        <w:rPr>
          <w:rFonts w:ascii="Arial" w:hAnsi="Arial"/>
          <w:noProof w:val="0"/>
          <w:rtl/>
        </w:rPr>
        <w:t xml:space="preserve"> [פורסם במאגרים] ניתן ביום 13.1.21.</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lastRenderedPageBreak/>
        <w:t>שם נדון מקרה אשר נסיבותיו דומות עד למאוד לענייננו, בהן הנתבעת נמנעה שוב ושוב מלהעביר לעיונו של התובע מסמכים והקלטות אשר נטען על ידיה כי מצויים ברשותה וזאת חרף בקשות והחלטות רבות שניתנו על ידי בית המשפט בעניין זה. לפיכך הורה בית המשפט על מחיקת כתב ההגנה תוך חיוב הנתבעת בהוצאות התובע.</w:t>
      </w:r>
    </w:p>
    <w:tbl>
      <w:tblPr>
        <w:tblStyle w:val="a9"/>
        <w:bidiVisual/>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820"/>
      </w:tblGrid>
      <w:tr w:rsidR="000B142A" w:rsidTr="000B142A">
        <w:trPr>
          <w:jc w:val="center"/>
        </w:trPr>
        <w:tc>
          <w:tcPr>
            <w:tcW w:w="8820" w:type="dxa"/>
          </w:tcPr>
          <w:p w:rsidR="000B142A" w:rsidRDefault="000B142A">
            <w:pPr>
              <w:tabs>
                <w:tab w:val="center" w:pos="4153"/>
                <w:tab w:val="right" w:pos="8306"/>
              </w:tabs>
              <w:bidi w:val="0"/>
              <w:rPr>
                <w:rFonts w:ascii="Arial" w:hAnsi="Arial"/>
                <w:b/>
                <w:bCs/>
                <w:noProof w:val="0"/>
                <w:u w:val="single"/>
              </w:rPr>
            </w:pPr>
          </w:p>
        </w:tc>
      </w:tr>
    </w:tbl>
    <w:p w:rsidR="000B142A" w:rsidP="000B142A" w:rsidRDefault="000B142A">
      <w:pPr>
        <w:pStyle w:val="ac"/>
        <w:spacing w:line="360" w:lineRule="auto"/>
        <w:jc w:val="both"/>
        <w:rPr>
          <w:rFonts w:ascii="Arial" w:hAnsi="Arial"/>
          <w:b/>
          <w:bCs/>
          <w:noProof w:val="0"/>
          <w:u w:val="single"/>
        </w:rPr>
      </w:pPr>
      <w:r>
        <w:rPr>
          <w:rFonts w:ascii="Arial" w:hAnsi="Arial"/>
          <w:b/>
          <w:bCs/>
          <w:noProof w:val="0"/>
          <w:u w:val="single"/>
          <w:rtl/>
        </w:rPr>
        <w:t>מן הכלל אל הפרט:</w:t>
      </w:r>
    </w:p>
    <w:p w:rsidR="000B142A" w:rsidP="000B142A" w:rsidRDefault="000B142A">
      <w:pPr>
        <w:pStyle w:val="ac"/>
        <w:numPr>
          <w:ilvl w:val="0"/>
          <w:numId w:val="1"/>
        </w:numPr>
        <w:spacing w:line="360" w:lineRule="auto"/>
        <w:jc w:val="both"/>
        <w:rPr>
          <w:rFonts w:ascii="Arial" w:hAnsi="Arial"/>
          <w:noProof w:val="0"/>
          <w:rtl/>
        </w:rPr>
      </w:pPr>
      <w:r>
        <w:rPr>
          <w:rFonts w:ascii="Arial" w:hAnsi="Arial"/>
          <w:noProof w:val="0"/>
          <w:rtl/>
        </w:rPr>
        <w:t>לאחר שעיינתי בבקשות התובע ובתגובות/הודעתיו הלאקוניות של הנתבע, סבורני כי המקרה דנן נמנה על המקרים המיוחדים המצדיקים מחיקת כתב ההגנה.</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הנתבע קיבל אינספור הזדמנויות להסיר מחדלו באי המצאת הסרטונים לעיונה של התובעת ולא עשה וזאת ללא כל צידוק סביר ולמעשה ללא צידוק כלל.</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בכך גרם הנתבע לעינוי דין לתובעת שהינה אישה קשישה בת 81 , כך שערב דיון ההוכחות אנו מצויים ללא תצהירי עדות ראשית מטעם הצדדים, שלא ניתן להגישם ללא השלמת הליכי הגילוי והעיון.</w:t>
      </w:r>
    </w:p>
    <w:p w:rsidR="000B142A" w:rsidP="000B142A" w:rsidRDefault="000B142A">
      <w:pPr>
        <w:pStyle w:val="ac"/>
        <w:numPr>
          <w:ilvl w:val="0"/>
          <w:numId w:val="1"/>
        </w:numPr>
        <w:spacing w:line="360" w:lineRule="auto"/>
        <w:jc w:val="both"/>
        <w:rPr>
          <w:rFonts w:ascii="Arial" w:hAnsi="Arial"/>
          <w:noProof w:val="0"/>
        </w:rPr>
      </w:pPr>
      <w:r>
        <w:rPr>
          <w:rFonts w:ascii="Arial" w:hAnsi="Arial"/>
          <w:noProof w:val="0"/>
          <w:rtl/>
        </w:rPr>
        <w:t>לאור האמור לעיל אני מורה על מחיקת הגנתו של הנתבע לאלתר, על כל המשתמע מכך ועל חיובו של הנתבע בהוצאות התובעת בסך של 3,000 ₪</w:t>
      </w:r>
      <w:r>
        <w:rPr>
          <w:rFonts w:hint="cs" w:ascii="Arial" w:hAnsi="Arial"/>
          <w:noProof w:val="0"/>
          <w:rtl/>
        </w:rPr>
        <w:t xml:space="preserve"> בגין בקשה זו.</w:t>
      </w:r>
    </w:p>
    <w:p w:rsidR="000B142A" w:rsidP="000B142A" w:rsidRDefault="000B142A">
      <w:pPr>
        <w:pStyle w:val="ac"/>
        <w:numPr>
          <w:ilvl w:val="0"/>
          <w:numId w:val="1"/>
        </w:numPr>
        <w:spacing w:line="360" w:lineRule="auto"/>
        <w:jc w:val="both"/>
        <w:rPr>
          <w:rFonts w:ascii="Arial" w:hAnsi="Arial"/>
          <w:noProof w:val="0"/>
        </w:rPr>
      </w:pPr>
      <w:r>
        <w:rPr>
          <w:rFonts w:hint="cs" w:ascii="Arial" w:hAnsi="Arial"/>
          <w:noProof w:val="0"/>
          <w:rtl/>
        </w:rPr>
        <w:t>כפועל יוצא מהעדר הגנה יש ליתן</w:t>
      </w:r>
      <w:bookmarkStart w:name="_GoBack" w:id="0"/>
      <w:bookmarkEnd w:id="0"/>
      <w:r>
        <w:rPr>
          <w:rFonts w:hint="cs" w:ascii="Arial" w:hAnsi="Arial"/>
          <w:noProof w:val="0"/>
          <w:rtl/>
        </w:rPr>
        <w:t xml:space="preserve"> פסק דין בהעדר הגנה כנגד הנתבע. התובעת תגיש פסיקתא לחתימתי.</w:t>
      </w:r>
    </w:p>
    <w:p w:rsidRPr="000B142A"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hint="cs" w:ascii="Arial" w:hAnsi="Arial"/>
          <w:noProof w:val="0"/>
          <w:rtl/>
        </w:rPr>
        <w:t>נה</w:t>
      </w:r>
      <w:r w:rsidR="00005C8B">
        <w:rPr>
          <w:rFonts w:ascii="Arial" w:hAnsi="Arial"/>
          <w:noProof w:val="0"/>
          <w:rtl/>
        </w:rPr>
        <w:t xml:space="preserve"> היום, </w:t>
      </w:r>
      <w:sdt>
        <w:sdtPr>
          <w:rPr>
            <w:rtl/>
          </w:rPr>
          <w:alias w:val="1455"/>
          <w:tag w:val="1455"/>
          <w:id w:val="1104153790"/>
          <w:text w:multiLine="1"/>
        </w:sdtPr>
        <w:sdtEndPr/>
        <w:sdtContent>
          <w:r>
            <w:rPr>
              <w:rFonts w:ascii="Arial" w:hAnsi="Arial"/>
              <w:noProof w:val="0"/>
              <w:rtl/>
            </w:rPr>
            <w:t>ד' אייר תשפ"א</w:t>
          </w:r>
        </w:sdtContent>
      </w:sdt>
      <w:r w:rsidR="00005C8B">
        <w:rPr>
          <w:rFonts w:ascii="Arial" w:hAnsi="Arial"/>
          <w:noProof w:val="0"/>
          <w:rtl/>
        </w:rPr>
        <w:t xml:space="preserve">, </w:t>
      </w:r>
      <w:sdt>
        <w:sdtPr>
          <w:rPr>
            <w:rtl/>
          </w:rPr>
          <w:alias w:val="1456"/>
          <w:tag w:val="1456"/>
          <w:id w:val="330110854"/>
          <w:text w:multiLine="1"/>
        </w:sdtPr>
        <w:sdtEndPr/>
        <w:sdtContent>
          <w:r>
            <w:rPr>
              <w:rFonts w:ascii="Arial" w:hAnsi="Arial"/>
              <w:noProof w:val="0"/>
              <w:rtl/>
            </w:rPr>
            <w:t>16 אפריל 2021</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P="00FD1419" w:rsidRDefault="00C62B04">
      <w:pPr>
        <w:spacing w:line="360" w:lineRule="auto"/>
        <w:ind w:left="3600" w:firstLine="720"/>
        <w:jc w:val="center"/>
        <w:rPr>
          <w:rFonts w:ascii="Arial" w:hAnsi="Arial"/>
          <w:noProof w:val="0"/>
          <w:rtl/>
        </w:rPr>
      </w:pPr>
      <w:sdt>
        <w:sdtPr>
          <w:alias w:val="MergeField"/>
          <w:tag w:val="1237"/>
        </w:sdtPr>
        <w:sdtContent>
          <w:p>
            <w:r>
              <w:drawing>
                <wp:inline distT="0" distB="0" distL="0" distR="0" wp14:editId="50D07946">
                  <wp:extent cx="1543050" cy="1000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0f2ba6f3b66e4156" cstate="print">
                            <a:extLst>
                              <a:ext uri="{28A0092B-C50C-407E-A947-70E740481C1C}"/>
                            </a:extLst>
                          </a:blip>
                          <a:stretch>
                            <a:fillRect/>
                          </a:stretch>
                        </pic:blipFill>
                        <pic:spPr>
                          <a:xfrm>
                            <a:off x="0" y="0"/>
                            <a:ext cx="1543050" cy="1000125"/>
                          </a:xfrm>
                          <a:prstGeom prst="rect">
                            <a:avLst/>
                          </a:prstGeom>
                        </pic:spPr>
                      </pic:pic>
                    </a:graphicData>
                  </a:graphic>
                </wp:inline>
              </w:drawing>
            </w:r>
          </w:p>
        </w:sdtContent>
      </w:sdt>
    </w:p>
    <w:sectPr w:rsidR="00694556" w:rsidSect="003A4521">
      <w:headerReference w:type="even" r:id="rId12"/>
      <w:headerReference w:type="default" r:id="rId13"/>
      <w:footerReference w:type="even" r:id="rId14"/>
      <w:footerReference w:type="default" r:id="rId15"/>
      <w:headerReference w:type="first" r:id="rId16"/>
      <w:footerReference w:type="first" r:id="rId17"/>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m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42A" w:rsidRDefault="000B142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4E6E3C" w:rsidR="00694556" w:rsidRDefault="005801A3">
    <w:pPr>
      <w:pStyle w:val="a4"/>
      <w:jc w:val="center"/>
      <w:rPr>
        <w:rStyle w:val="ab"/>
      </w:rPr>
    </w:pPr>
    <w:r w:rsidRPr="004E6E3C">
      <w:rPr>
        <w:rStyle w:val="ab"/>
        <w:rFonts w:cs="Times New Roman"/>
      </w:rPr>
      <w:fldChar w:fldCharType="begin"/>
    </w:r>
    <w:r w:rsidRPr="004E6E3C" w:rsidR="00005C8B">
      <w:rPr>
        <w:rStyle w:val="ab"/>
        <w:rFonts w:cs="Times New Roman"/>
      </w:rPr>
      <w:instrText xml:space="preserve"> PAGE </w:instrText>
    </w:r>
    <w:r w:rsidRPr="004E6E3C">
      <w:rPr>
        <w:rStyle w:val="ab"/>
        <w:rFonts w:cs="Times New Roman"/>
      </w:rPr>
      <w:fldChar w:fldCharType="separate"/>
    </w:r>
    <w:r w:rsidR="00C62B04">
      <w:rPr>
        <w:rStyle w:val="ab"/>
        <w:rFonts w:cs="Times New Roman"/>
        <w:rtl/>
      </w:rPr>
      <w:t>4</w:t>
    </w:r>
    <w:r w:rsidRPr="004E6E3C">
      <w:rPr>
        <w:rStyle w:val="ab"/>
        <w:rFonts w:cs="Times New Roman"/>
      </w:rPr>
      <w:fldChar w:fldCharType="end"/>
    </w:r>
    <w:r w:rsidRPr="004E6E3C" w:rsidR="00005C8B">
      <w:rPr>
        <w:rStyle w:val="ab"/>
        <w:rFonts w:hint="cs"/>
        <w:rtl/>
      </w:rPr>
      <w:t xml:space="preserve"> מתוך </w:t>
    </w:r>
    <w:r w:rsidRPr="004E6E3C">
      <w:rPr>
        <w:rStyle w:val="ab"/>
      </w:rPr>
      <w:fldChar w:fldCharType="begin"/>
    </w:r>
    <w:r w:rsidRPr="004E6E3C" w:rsidR="00005C8B">
      <w:rPr>
        <w:rStyle w:val="ab"/>
      </w:rPr>
      <w:instrText xml:space="preserve"> NUMPAGES </w:instrText>
    </w:r>
    <w:r w:rsidRPr="004E6E3C">
      <w:rPr>
        <w:rStyle w:val="ab"/>
      </w:rPr>
      <w:fldChar w:fldCharType="separate"/>
    </w:r>
    <w:r w:rsidR="00C62B04">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42A" w:rsidRDefault="000B142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42A" w:rsidRDefault="000B142A">
    <w:pPr>
      <w:pStyle w:val="a3"/>
    </w:pPr>
  </w:p>
</w:hdr>
</file>

<file path=word/header2.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0B142A">
    <w:pPr>
      <w:pStyle w:val="a3"/>
      <w:jc w:val="center"/>
      <w:rPr>
        <w:rFonts w:cs="FrankRuehl"/>
        <w:noProof w:val="0"/>
        <w:sz w:val="28"/>
        <w:szCs w:val="28"/>
        <w:rtl/>
      </w:rPr>
    </w:pPr>
    <w:r>
      <w:rPr>
        <w:rFonts w:cs="FrankRuehl"/>
        <w:sz w:val="28"/>
        <w:szCs w:val="28"/>
      </w:rPr>
    </w:r>
    <w:r w:rsidR="00265A5B">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002"/>
      <w:gridCol w:w="4503"/>
    </w:tblGrid>
    <w:tr w:rsidR="00694556" w:rsidTr="00686C21">
      <w:trPr>
        <w:trHeight w:val="704" w:hRule="exact"/>
        <w:jc w:val="center"/>
      </w:trPr>
      <w:sdt>
        <w:sdtPr>
          <w:rPr>
            <w:rtl/>
          </w:rPr>
          <w:alias w:val="1174"/>
          <w:tag w:val="1174"/>
          <w:id w:val="18175340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השלום בעכו</w:t>
              </w:r>
            </w:p>
            <w:p w:rsidR="00694556" w:rsidRDefault="00694556">
              <w:pPr>
                <w:pStyle w:val="a3"/>
                <w:jc w:val="center"/>
                <w:rPr>
                  <w:rFonts w:ascii="Tahoma" w:hAnsi="Tahoma" w:cs="Tahoma"/>
                  <w:noProof w:val="0"/>
                  <w:color w:val="000080"/>
                  <w:rtl/>
                </w:rPr>
              </w:pPr>
            </w:p>
          </w:tc>
        </w:sdtContent>
      </w:sdt>
    </w:tr>
    <w:tr w:rsidR="00694556" w:rsidTr="00141559">
      <w:trPr>
        <w:trHeight w:val="337"/>
        <w:jc w:val="center"/>
      </w:trPr>
      <w:tc>
        <w:tcPr>
          <w:tcW w:w="4113" w:type="dxa"/>
        </w:tcPr>
        <w:p w:rsidR="00694556" w:rsidRDefault="00694556">
          <w:pPr>
            <w:rPr>
              <w:b/>
              <w:bCs/>
              <w:noProof w:val="0"/>
              <w:sz w:val="26"/>
              <w:szCs w:val="26"/>
              <w:rtl/>
            </w:rPr>
          </w:pPr>
        </w:p>
      </w:tc>
      <w:tc>
        <w:tcPr>
          <w:tcW w:w="4608" w:type="dxa"/>
        </w:tcPr>
        <w:p w:rsidR="00694556" w:rsidP="00465E2E" w:rsidRDefault="00C62B04">
          <w:pPr>
            <w:pStyle w:val="a3"/>
            <w:jc w:val="right"/>
            <w:rPr>
              <w:b/>
              <w:bCs/>
              <w:noProof w:val="0"/>
              <w:sz w:val="26"/>
              <w:szCs w:val="26"/>
              <w:rtl/>
            </w:rPr>
          </w:pPr>
          <w:sdt>
            <w:sdtPr>
              <w:rPr>
                <w:rtl/>
              </w:rPr>
              <w:alias w:val="1455"/>
              <w:tag w:val="1455"/>
              <w:id w:val="207769009"/>
              <w:text w:multiLine="1"/>
            </w:sdtPr>
            <w:sdtEndPr/>
            <w:sdtContent>
              <w:r>
                <w:rPr>
                  <w:rFonts w:ascii="Arial" w:hAnsi="Arial"/>
                  <w:noProof w:val="0"/>
                  <w:rtl/>
                </w:rPr>
                <w:t>ד' אייר תשפ"א</w:t>
              </w:r>
            </w:sdtContent>
          </w:sdt>
          <w:r w:rsidR="00141559">
            <w:rPr>
              <w:rFonts w:ascii="Arial" w:hAnsi="Arial"/>
              <w:noProof w:val="0"/>
              <w:rtl/>
            </w:rPr>
            <w:t xml:space="preserve">, </w:t>
          </w:r>
          <w:sdt>
            <w:sdtPr>
              <w:rPr>
                <w:rtl/>
              </w:rPr>
              <w:alias w:val="1456"/>
              <w:tag w:val="1456"/>
              <w:id w:val="-653459599"/>
              <w:text w:multiLine="1"/>
            </w:sdtPr>
            <w:sdtEndPr/>
            <w:sdtContent>
              <w:r>
                <w:rPr>
                  <w:rFonts w:ascii="Arial" w:hAnsi="Arial"/>
                  <w:noProof w:val="0"/>
                  <w:rtl/>
                </w:rPr>
                <w:t>16 אפריל 2021</w:t>
              </w:r>
            </w:sdtContent>
          </w:sdt>
        </w:p>
      </w:tc>
    </w:tr>
    <w:tr w:rsidR="00694556">
      <w:trPr>
        <w:trHeight w:val="337"/>
        <w:jc w:val="center"/>
      </w:trPr>
      <w:tc>
        <w:tcPr>
          <w:tcW w:w="8721" w:type="dxa"/>
          <w:gridSpan w:val="2"/>
        </w:tcPr>
        <w:p w:rsidR="00694556" w:rsidRDefault="00C62B04">
          <w:pPr>
            <w:rPr>
              <w:b/>
              <w:bCs/>
              <w:noProof w:val="0"/>
              <w:sz w:val="26"/>
              <w:szCs w:val="26"/>
              <w:rtl/>
            </w:rPr>
          </w:pPr>
          <w:sdt>
            <w:sdtPr>
              <w:rPr>
                <w:rtl/>
              </w:rPr>
              <w:alias w:val="1170"/>
              <w:tag w:val="1170"/>
              <w:id w:val="8877580"/>
              <w:text w:multiLine="1"/>
            </w:sdtPr>
            <w:sdtEndPr/>
            <w:sdtContent>
              <w:r w:rsidR="00406BB0">
                <w:rPr>
                  <w:b/>
                  <w:bCs/>
                  <w:noProof w:val="0"/>
                  <w:sz w:val="26"/>
                  <w:szCs w:val="26"/>
                  <w:rtl/>
                </w:rPr>
                <w:t>תא"מ</w:t>
              </w:r>
            </w:sdtContent>
          </w:sdt>
          <w:r w:rsidR="00005C8B">
            <w:rPr>
              <w:b/>
              <w:bCs/>
              <w:noProof w:val="0"/>
              <w:sz w:val="26"/>
              <w:szCs w:val="26"/>
              <w:rtl/>
            </w:rPr>
            <w:t xml:space="preserve"> </w:t>
          </w:r>
          <w:sdt>
            <w:sdtPr>
              <w:rPr>
                <w:rtl/>
              </w:rPr>
              <w:alias w:val="1171"/>
              <w:tag w:val="1171"/>
              <w:id w:val="398411789"/>
              <w:text w:multiLine="1"/>
            </w:sdtPr>
            <w:sdtEndPr/>
            <w:sdtContent>
              <w:r w:rsidR="00406BB0">
                <w:rPr>
                  <w:b/>
                  <w:bCs/>
                  <w:noProof w:val="0"/>
                  <w:sz w:val="26"/>
                  <w:szCs w:val="26"/>
                  <w:rtl/>
                </w:rPr>
                <w:t>35194-09-19</w:t>
              </w:r>
            </w:sdtContent>
          </w:sdt>
          <w:r w:rsidR="00005C8B">
            <w:rPr>
              <w:b/>
              <w:bCs/>
              <w:noProof w:val="0"/>
              <w:sz w:val="26"/>
              <w:szCs w:val="26"/>
              <w:rtl/>
            </w:rPr>
            <w:t xml:space="preserve"> </w:t>
          </w:r>
          <w:sdt>
            <w:sdtPr>
              <w:rPr>
                <w:rtl/>
              </w:rPr>
              <w:alias w:val="1172"/>
              <w:tag w:val="1172"/>
              <w:id w:val="1688322762"/>
              <w:text w:multiLine="1"/>
            </w:sdtPr>
            <w:sdtEndPr/>
            <w:sdtContent>
              <w:r w:rsidR="00406BB0">
                <w:rPr>
                  <w:b/>
                  <w:bCs/>
                  <w:noProof w:val="0"/>
                  <w:sz w:val="26"/>
                  <w:szCs w:val="26"/>
                  <w:rtl/>
                </w:rPr>
                <w:t>שבתייב נ' אסוד</w:t>
              </w:r>
            </w:sdtContent>
          </w:sdt>
        </w:p>
        <w:p w:rsidR="00694556" w:rsidRDefault="00694556">
          <w:pPr>
            <w:rPr>
              <w:rtl/>
            </w:rPr>
          </w:pPr>
        </w:p>
        <w:p w:rsidR="00A77A98" w:rsidRDefault="00A77A98">
          <w:pPr>
            <w:rPr>
              <w:rtl/>
            </w:rPr>
          </w:pPr>
          <w:r>
            <w:rPr>
              <w:rFonts w:hint="cs"/>
              <w:sz w:val="20"/>
              <w:szCs w:val="20"/>
              <w:rtl/>
            </w:rPr>
            <w:t>תיק חיצוני</w:t>
          </w:r>
          <w:r>
            <w:rPr>
              <w:rFonts w:hint="cs"/>
              <w:rtl/>
            </w:rPr>
            <w:t xml:space="preserve">: </w:t>
          </w:r>
          <w:sdt>
            <w:sdtPr>
              <w:rPr>
                <w:rtl/>
              </w:rPr>
              <w:alias w:val="1198"/>
              <w:tag w:val="1198"/>
              <w:id w:val="-743172099"/>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42A" w:rsidRDefault="000B142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A524D0"/>
    <w:multiLevelType w:val="hybridMultilevel"/>
    <w:tmpl w:val="93EEBD58"/>
    <w:lvl w:ilvl="0" w:tplc="5D76CA46">
      <w:start w:val="1"/>
      <w:numFmt w:val="decimal"/>
      <w:lvlText w:val="%1."/>
      <w:lvlJc w:val="left"/>
      <w:pPr>
        <w:ind w:left="72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9026"/>
    <o:shapelayout v:ext="edit">
      <o:idmap v:ext="edit" data="12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5C8B"/>
    <w:rsid w:val="000564AB"/>
    <w:rsid w:val="00064FBD"/>
    <w:rsid w:val="00082AB2"/>
    <w:rsid w:val="00096AF7"/>
    <w:rsid w:val="000B142A"/>
    <w:rsid w:val="000B344B"/>
    <w:rsid w:val="000C3B0F"/>
    <w:rsid w:val="000E3AF1"/>
    <w:rsid w:val="000E6128"/>
    <w:rsid w:val="000F0BC8"/>
    <w:rsid w:val="000F78FD"/>
    <w:rsid w:val="00107E6D"/>
    <w:rsid w:val="0011194C"/>
    <w:rsid w:val="0011424C"/>
    <w:rsid w:val="00141559"/>
    <w:rsid w:val="00144D2A"/>
    <w:rsid w:val="0014653E"/>
    <w:rsid w:val="00166C15"/>
    <w:rsid w:val="00180519"/>
    <w:rsid w:val="001C4003"/>
    <w:rsid w:val="001D4DBF"/>
    <w:rsid w:val="002265FF"/>
    <w:rsid w:val="00265A5B"/>
    <w:rsid w:val="002C344E"/>
    <w:rsid w:val="00307A6A"/>
    <w:rsid w:val="00307C40"/>
    <w:rsid w:val="00320433"/>
    <w:rsid w:val="0033597A"/>
    <w:rsid w:val="00362612"/>
    <w:rsid w:val="0036743F"/>
    <w:rsid w:val="003715DD"/>
    <w:rsid w:val="0039581A"/>
    <w:rsid w:val="003A4521"/>
    <w:rsid w:val="00406BB0"/>
    <w:rsid w:val="0043125D"/>
    <w:rsid w:val="0043275E"/>
    <w:rsid w:val="0043502B"/>
    <w:rsid w:val="004362F5"/>
    <w:rsid w:val="00465E2E"/>
    <w:rsid w:val="004B1D43"/>
    <w:rsid w:val="004C4BDF"/>
    <w:rsid w:val="004D1187"/>
    <w:rsid w:val="004E1987"/>
    <w:rsid w:val="004E6E3C"/>
    <w:rsid w:val="005268F6"/>
    <w:rsid w:val="00547DB7"/>
    <w:rsid w:val="00567789"/>
    <w:rsid w:val="005801A3"/>
    <w:rsid w:val="00622BAA"/>
    <w:rsid w:val="006306CF"/>
    <w:rsid w:val="00654B31"/>
    <w:rsid w:val="00671BD5"/>
    <w:rsid w:val="00674E87"/>
    <w:rsid w:val="006805C1"/>
    <w:rsid w:val="00686C21"/>
    <w:rsid w:val="006931C1"/>
    <w:rsid w:val="00694556"/>
    <w:rsid w:val="006B718B"/>
    <w:rsid w:val="006D110E"/>
    <w:rsid w:val="006D3B31"/>
    <w:rsid w:val="006E1A53"/>
    <w:rsid w:val="006E2B3B"/>
    <w:rsid w:val="00704EDA"/>
    <w:rsid w:val="00753019"/>
    <w:rsid w:val="007559D4"/>
    <w:rsid w:val="00795365"/>
    <w:rsid w:val="007E6115"/>
    <w:rsid w:val="007F4609"/>
    <w:rsid w:val="008176A1"/>
    <w:rsid w:val="00820005"/>
    <w:rsid w:val="00844318"/>
    <w:rsid w:val="008665BD"/>
    <w:rsid w:val="00896889"/>
    <w:rsid w:val="008A0656"/>
    <w:rsid w:val="008B0A98"/>
    <w:rsid w:val="008B385E"/>
    <w:rsid w:val="008C5714"/>
    <w:rsid w:val="008C7EC3"/>
    <w:rsid w:val="00903896"/>
    <w:rsid w:val="00906F3D"/>
    <w:rsid w:val="00967DFF"/>
    <w:rsid w:val="00994341"/>
    <w:rsid w:val="0099676D"/>
    <w:rsid w:val="00A243B4"/>
    <w:rsid w:val="00A3392B"/>
    <w:rsid w:val="00A34F79"/>
    <w:rsid w:val="00A46F1C"/>
    <w:rsid w:val="00A77A98"/>
    <w:rsid w:val="00A84588"/>
    <w:rsid w:val="00A94B64"/>
    <w:rsid w:val="00AA3229"/>
    <w:rsid w:val="00AA7596"/>
    <w:rsid w:val="00AC3B7B"/>
    <w:rsid w:val="00AC5209"/>
    <w:rsid w:val="00AE7752"/>
    <w:rsid w:val="00AF7FDA"/>
    <w:rsid w:val="00B80CBD"/>
    <w:rsid w:val="00B86096"/>
    <w:rsid w:val="00BA517C"/>
    <w:rsid w:val="00BB3D05"/>
    <w:rsid w:val="00BB73BE"/>
    <w:rsid w:val="00BF1908"/>
    <w:rsid w:val="00C22D93"/>
    <w:rsid w:val="00C34482"/>
    <w:rsid w:val="00C50A9F"/>
    <w:rsid w:val="00C62B04"/>
    <w:rsid w:val="00C642FA"/>
    <w:rsid w:val="00CC7622"/>
    <w:rsid w:val="00D33B86"/>
    <w:rsid w:val="00D53924"/>
    <w:rsid w:val="00D55D0C"/>
    <w:rsid w:val="00D96D8C"/>
    <w:rsid w:val="00DA6649"/>
    <w:rsid w:val="00DB770D"/>
    <w:rsid w:val="00DF5E73"/>
    <w:rsid w:val="00E174AD"/>
    <w:rsid w:val="00E25884"/>
    <w:rsid w:val="00E5426A"/>
    <w:rsid w:val="00E54642"/>
    <w:rsid w:val="00EA3DE1"/>
    <w:rsid w:val="00EB4551"/>
    <w:rsid w:val="00EB495C"/>
    <w:rsid w:val="00EC37E9"/>
    <w:rsid w:val="00F60634"/>
    <w:rsid w:val="00F84B6D"/>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14:docId w14:val="0D21F35F"/>
  <w15:docId w15:val="{90D4B730-DCB8-4D77-BCE1-4EE330085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semiHidden/>
    <w:unhideWhenUsed/>
    <w:rsid w:val="000B142A"/>
    <w:rPr>
      <w:color w:val="0000FF" w:themeColor="hyperlink"/>
      <w:u w:val="single"/>
    </w:rPr>
  </w:style>
  <w:style w:type="paragraph" w:styleId="ac">
    <w:name w:val="List Paragraph"/>
    <w:basedOn w:val="a"/>
    <w:uiPriority w:val="34"/>
    <w:qFormat/>
    <w:rsid w:val="000B142A"/>
    <w:pPr>
      <w:ind w:left="720"/>
      <w:contextualSpacing/>
    </w:pPr>
  </w:style>
  <w:style w:type="paragraph" w:customStyle="1" w:styleId="10">
    <w:name w:val="פיסקת רשימה1"/>
    <w:basedOn w:val="a"/>
    <w:qFormat/>
    <w:rsid w:val="000B14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43144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eader" Target="header3.xml" Id="rId16"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nevo.co.il/law/157751/60.a" TargetMode="External" Id="rId11"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hyperlink" Target="http://www.nevo.co.il/law/157751/42" TargetMode="External"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http://www.nevo.co.il/law/157751/4" TargetMode="External" Id="rId9" /><Relationship Type="http://schemas.openxmlformats.org/officeDocument/2006/relationships/footer" Target="footer1.xml" Id="rId14" /><Relationship Type="http://schemas.openxmlformats.org/officeDocument/2006/relationships/image" Target="/media/image2.jpg" Id="R0f2ba6f3b66e4156"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940</Words>
  <Characters>4701</Characters>
  <Application>Microsoft Office Word</Application>
  <DocSecurity>0</DocSecurity>
  <Lines>39</Lines>
  <Paragraphs>11</Paragraphs>
  <ScaleCrop>false</ScaleCrop>
  <Company>Microsoft Corporation</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עינת דינרמן</cp:lastModifiedBy>
  <cp:revision>8</cp:revision>
  <dcterms:created xsi:type="dcterms:W3CDTF">2012-08-05T19:28:00Z</dcterms:created>
  <dcterms:modified xsi:type="dcterms:W3CDTF">2021-04-15T21:07:00Z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